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E50AA" w14:textId="3EC33C91" w:rsidR="00B92E47" w:rsidRDefault="00B92E47" w:rsidP="00B92E47">
      <w:pPr>
        <w:pStyle w:val="CH"/>
      </w:pPr>
      <w:bookmarkStart w:id="0" w:name="historyclause"/>
      <w:r>
        <w:t>3GPP RAN4 Meeting #112bis</w:t>
      </w:r>
      <w:r>
        <w:tab/>
      </w:r>
      <w:r>
        <w:tab/>
      </w:r>
      <w:r w:rsidR="00531A1A" w:rsidRPr="00531A1A">
        <w:t>R4-2415341</w:t>
      </w:r>
    </w:p>
    <w:p w14:paraId="38297462" w14:textId="77777777" w:rsidR="00B92E47" w:rsidRPr="000271B6" w:rsidRDefault="00B92E47" w:rsidP="00B92E47">
      <w:pPr>
        <w:pStyle w:val="CH"/>
        <w:tabs>
          <w:tab w:val="clear" w:pos="7920"/>
        </w:tabs>
        <w:rPr>
          <w:b w:val="0"/>
        </w:rPr>
      </w:pPr>
      <w:r>
        <w:t>Hefei, China, October 14-18, 2024</w:t>
      </w:r>
    </w:p>
    <w:p w14:paraId="1270F41F" w14:textId="77777777" w:rsidR="00DF1B20" w:rsidRPr="00056B4F" w:rsidRDefault="00DF1B20" w:rsidP="00DF1B20">
      <w:pPr>
        <w:tabs>
          <w:tab w:val="left" w:pos="2160"/>
        </w:tabs>
        <w:rPr>
          <w:rFonts w:ascii="Arial" w:hAnsi="Arial" w:cs="Arial"/>
          <w:b/>
        </w:rPr>
      </w:pPr>
    </w:p>
    <w:p w14:paraId="1251F7DF" w14:textId="0270A381" w:rsidR="00DF1B20" w:rsidRPr="00CE7214" w:rsidRDefault="00DF1B20" w:rsidP="00DF1B20">
      <w:pPr>
        <w:pStyle w:val="CH"/>
      </w:pPr>
      <w:r w:rsidRPr="0008103A">
        <w:t>Agenda item:</w:t>
      </w:r>
      <w:r>
        <w:tab/>
      </w:r>
      <w:r w:rsidR="00B94943">
        <w:t>9</w:t>
      </w:r>
    </w:p>
    <w:p w14:paraId="6D9ED8BC" w14:textId="50A25763" w:rsidR="00DF1B20" w:rsidRPr="00F614AC" w:rsidRDefault="00DF1B20" w:rsidP="00E5536B">
      <w:pPr>
        <w:pStyle w:val="CH"/>
        <w:ind w:left="2250" w:hanging="2250"/>
        <w:rPr>
          <w:b w:val="0"/>
        </w:rPr>
      </w:pPr>
      <w:r w:rsidRPr="00F614AC">
        <w:t>Source:</w:t>
      </w:r>
      <w:r w:rsidRPr="00F614AC">
        <w:tab/>
        <w:t>Apple</w:t>
      </w:r>
      <w:r>
        <w:t xml:space="preserve">, </w:t>
      </w:r>
      <w:r w:rsidR="00FD1013">
        <w:t>Skyworks Solutions</w:t>
      </w:r>
      <w:r w:rsidR="00305FEF">
        <w:t xml:space="preserve"> Inc.</w:t>
      </w:r>
      <w:r w:rsidR="00FD1013">
        <w:t xml:space="preserve">, </w:t>
      </w:r>
      <w:r w:rsidR="00E5536B">
        <w:t>BT plc, TELUS, Bell</w:t>
      </w:r>
      <w:r w:rsidR="00044C77">
        <w:t xml:space="preserve"> Mobility</w:t>
      </w:r>
      <w:r w:rsidR="00E5536B">
        <w:t xml:space="preserve">, Anterix, </w:t>
      </w:r>
      <w:r w:rsidR="00E5536B" w:rsidRPr="00E5536B">
        <w:t>Southern Linc</w:t>
      </w:r>
      <w:r w:rsidR="00391DC4">
        <w:t>, AT&amp;T</w:t>
      </w:r>
      <w:r w:rsidR="00C2295B">
        <w:t>, Dish</w:t>
      </w:r>
      <w:r w:rsidR="00CB6450">
        <w:t xml:space="preserve"> Network</w:t>
      </w:r>
      <w:r w:rsidR="00EE4154">
        <w:t>, Murata</w:t>
      </w:r>
    </w:p>
    <w:p w14:paraId="01EDA361" w14:textId="2083DC87" w:rsidR="00DF1B20" w:rsidRPr="00F614AC" w:rsidRDefault="00DF1B20" w:rsidP="00DF1B20">
      <w:pPr>
        <w:pStyle w:val="CH"/>
        <w:tabs>
          <w:tab w:val="clear" w:pos="2268"/>
          <w:tab w:val="left" w:pos="2250"/>
        </w:tabs>
        <w:ind w:left="2250" w:hanging="2250"/>
      </w:pPr>
      <w:r w:rsidRPr="00F614AC">
        <w:t>Title:</w:t>
      </w:r>
      <w:r w:rsidRPr="00F614AC">
        <w:tab/>
      </w:r>
      <w:r>
        <w:t xml:space="preserve">Motivation for a new work item on </w:t>
      </w:r>
      <w:r w:rsidR="009553A4">
        <w:t>low band carrier aggregation</w:t>
      </w:r>
      <w:r>
        <w:t xml:space="preserve"> </w:t>
      </w:r>
      <w:r w:rsidR="00E27935">
        <w:t>via</w:t>
      </w:r>
      <w:r>
        <w:t xml:space="preserve"> switching</w:t>
      </w:r>
      <w:r w:rsidR="00134DA3">
        <w:t xml:space="preserve"> in Rel-19</w:t>
      </w:r>
    </w:p>
    <w:p w14:paraId="14A1761D" w14:textId="77777777" w:rsidR="00DF1B20" w:rsidRPr="00F614AC" w:rsidRDefault="00DF1B20" w:rsidP="00DF1B20">
      <w:pPr>
        <w:pStyle w:val="CH"/>
        <w:rPr>
          <w:b w:val="0"/>
        </w:rPr>
      </w:pPr>
      <w:r w:rsidRPr="00F614AC">
        <w:t>Release:</w:t>
      </w:r>
      <w:r w:rsidRPr="00F614AC">
        <w:tab/>
        <w:t>Rel-1</w:t>
      </w:r>
      <w:r>
        <w:t>9</w:t>
      </w:r>
    </w:p>
    <w:p w14:paraId="113D0105" w14:textId="77777777" w:rsidR="00DF1B20" w:rsidRDefault="00DF1B20" w:rsidP="00DF1B20">
      <w:pPr>
        <w:pStyle w:val="CH"/>
      </w:pPr>
      <w:r w:rsidRPr="00F614AC">
        <w:t>Document for:</w:t>
      </w:r>
      <w:r w:rsidRPr="00F614AC">
        <w:tab/>
      </w:r>
      <w:r>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60CEFEE5" w:rsidR="008E7986" w:rsidRDefault="007932AB" w:rsidP="008E7986">
      <w:r>
        <w:t xml:space="preserve">During the RAN #104 meeting an operator request </w:t>
      </w:r>
      <w:r w:rsidR="002C006F">
        <w:t xml:space="preserve">for low band + low band (LB+LB) carrier aggregation based on switching was submitted and discussed </w:t>
      </w:r>
      <w:r w:rsidR="002C006F">
        <w:fldChar w:fldCharType="begin"/>
      </w:r>
      <w:r w:rsidR="002C006F">
        <w:instrText xml:space="preserve"> REF _Ref169596705 \r \h </w:instrText>
      </w:r>
      <w:r w:rsidR="002C006F">
        <w:fldChar w:fldCharType="separate"/>
      </w:r>
      <w:r w:rsidR="00632CB1">
        <w:t>[1]</w:t>
      </w:r>
      <w:r w:rsidR="002C006F">
        <w:fldChar w:fldCharType="end"/>
      </w:r>
      <w:r w:rsidR="002C006F">
        <w:t xml:space="preserve">.  Considering the practicalities of handset </w:t>
      </w:r>
      <w:r w:rsidR="008C4BB0">
        <w:t xml:space="preserve">RF </w:t>
      </w:r>
      <w:r w:rsidR="002C006F">
        <w:t>front end architectures available in the market today, the operators have requested 3GPP to consider specifying a solution which can potentially accommodate the related limitations.  This contribution describes the relevant LB+LB CA scenarios and provides the motivation for a new Rel-19 work item to specify a</w:t>
      </w:r>
      <w:r w:rsidR="00930BCB">
        <w:t xml:space="preserve"> switching</w:t>
      </w:r>
      <w:r w:rsidR="002C006F">
        <w:t xml:space="preserve"> solution</w:t>
      </w:r>
      <w:r w:rsidR="00930BCB">
        <w:t xml:space="preserve"> to enable their adoption into practical handset front end architectures</w:t>
      </w:r>
      <w:r w:rsidR="002C006F">
        <w:t>.</w:t>
      </w:r>
    </w:p>
    <w:p w14:paraId="75DFC257" w14:textId="77777777" w:rsidR="00A1026D" w:rsidRDefault="00A1026D" w:rsidP="008E7986"/>
    <w:p w14:paraId="3A67921B" w14:textId="1276B2D4" w:rsidR="008E7986" w:rsidRDefault="008E7986" w:rsidP="008E7986">
      <w:pPr>
        <w:pStyle w:val="Heading1"/>
      </w:pPr>
      <w:r>
        <w:t>2</w:t>
      </w:r>
      <w:r>
        <w:tab/>
      </w:r>
      <w:r w:rsidR="00B845A4">
        <w:t>Discussion</w:t>
      </w:r>
    </w:p>
    <w:p w14:paraId="3191FE26" w14:textId="12AC9243" w:rsidR="004D7261" w:rsidRDefault="004D7261" w:rsidP="004D7261">
      <w:pPr>
        <w:pStyle w:val="Heading2"/>
      </w:pPr>
      <w:r>
        <w:t>2.1</w:t>
      </w:r>
      <w:r>
        <w:tab/>
        <w:t>Scenarios and Problem Statement</w:t>
      </w:r>
    </w:p>
    <w:p w14:paraId="50EF8337" w14:textId="5258E92C" w:rsidR="003B4BFB" w:rsidRDefault="008D6E18" w:rsidP="00FA2DA6">
      <w:r>
        <w:t xml:space="preserve">The proponents of </w:t>
      </w:r>
      <w:r>
        <w:fldChar w:fldCharType="begin"/>
      </w:r>
      <w:r>
        <w:instrText xml:space="preserve"> REF _Ref169596705 \r \h </w:instrText>
      </w:r>
      <w:r>
        <w:fldChar w:fldCharType="separate"/>
      </w:r>
      <w:r w:rsidR="00632CB1">
        <w:t>[1]</w:t>
      </w:r>
      <w:r>
        <w:fldChar w:fldCharType="end"/>
      </w:r>
      <w:r>
        <w:t xml:space="preserve"> have identified the problem statement of aggregating bands n12 and n29 with the following justifications:</w:t>
      </w:r>
    </w:p>
    <w:p w14:paraId="60D5CF6A" w14:textId="619DDF1B" w:rsidR="003B4BFB" w:rsidRPr="003B4BFB" w:rsidRDefault="003B4BFB" w:rsidP="003B4BFB">
      <w:pPr>
        <w:pStyle w:val="B1"/>
      </w:pPr>
      <w:r>
        <w:t>-</w:t>
      </w:r>
      <w:r>
        <w:tab/>
      </w:r>
      <w:r w:rsidRPr="003B4BFB">
        <w:t>We are rich in mid-band spectrum (~300 MHz) which is effective closer to sites, however we have limited low-band spectrum (15 MHz) which propagates farther</w:t>
      </w:r>
    </w:p>
    <w:p w14:paraId="05830C93" w14:textId="0542397E" w:rsidR="003B4BFB" w:rsidRPr="003B4BFB" w:rsidRDefault="003B4BFB" w:rsidP="003B4BFB">
      <w:pPr>
        <w:pStyle w:val="B1"/>
      </w:pPr>
      <w:r>
        <w:t>-</w:t>
      </w:r>
      <w:r>
        <w:tab/>
      </w:r>
      <w:r w:rsidRPr="003B4BFB">
        <w:t>As our customers move between sites (urban and rural), they’re spending more time in low-band coverage.</w:t>
      </w:r>
    </w:p>
    <w:p w14:paraId="0F860892" w14:textId="320647D2" w:rsidR="003B4BFB" w:rsidRPr="003B4BFB" w:rsidRDefault="003B4BFB" w:rsidP="003B4BFB">
      <w:pPr>
        <w:pStyle w:val="B1"/>
      </w:pPr>
      <w:r>
        <w:t>-</w:t>
      </w:r>
      <w:r>
        <w:tab/>
      </w:r>
      <w:r w:rsidRPr="003B4BFB">
        <w:t>Low-band carries significant traffic volumes in urban and rural</w:t>
      </w:r>
    </w:p>
    <w:p w14:paraId="2403801D" w14:textId="6D4C33B7" w:rsidR="003B4BFB" w:rsidRPr="003B4BFB" w:rsidRDefault="003B4BFB" w:rsidP="003B4BFB">
      <w:pPr>
        <w:pStyle w:val="B2"/>
      </w:pPr>
      <w:r>
        <w:t>-</w:t>
      </w:r>
      <w:r>
        <w:tab/>
      </w:r>
      <w:r w:rsidRPr="003B4BFB">
        <w:t>Our customers spend 15% of their day on average in urban low-bands, and 50% in rural low-bands</w:t>
      </w:r>
    </w:p>
    <w:p w14:paraId="35569F6B" w14:textId="1511F816" w:rsidR="003B4BFB" w:rsidRPr="003B4BFB" w:rsidRDefault="003B4BFB" w:rsidP="003B4BFB">
      <w:pPr>
        <w:pStyle w:val="B1"/>
      </w:pPr>
      <w:r>
        <w:t>-</w:t>
      </w:r>
      <w:r>
        <w:tab/>
      </w:r>
      <w:r w:rsidRPr="003B4BFB">
        <w:t>Low-band capacity challenge has a huge impact on customer experience. Users will experience poor data speeds due to low-band congestion.</w:t>
      </w:r>
    </w:p>
    <w:p w14:paraId="572E9F44" w14:textId="2A12A4B4" w:rsidR="003B4BFB" w:rsidRPr="003B4BFB" w:rsidRDefault="003B4BFB" w:rsidP="003B4BFB">
      <w:pPr>
        <w:pStyle w:val="B1"/>
      </w:pPr>
      <w:r>
        <w:t>-</w:t>
      </w:r>
      <w:r>
        <w:tab/>
      </w:r>
      <w:r w:rsidRPr="003B4BFB">
        <w:t xml:space="preserve">Low-Low band CA is one way of solving this problem, however OEM’s have challenges to support low-low band CA and this ecosystem does not exist </w:t>
      </w:r>
    </w:p>
    <w:p w14:paraId="32A0D3EA" w14:textId="066B7894" w:rsidR="003B4BFB" w:rsidRPr="003B4BFB" w:rsidRDefault="003B4BFB" w:rsidP="003B4BFB">
      <w:pPr>
        <w:pStyle w:val="B1"/>
      </w:pPr>
      <w:r>
        <w:t>-</w:t>
      </w:r>
      <w:r>
        <w:tab/>
      </w:r>
      <w:r w:rsidRPr="003B4BFB">
        <w:t>B29 is widely deployed in our network and is underutilized</w:t>
      </w:r>
    </w:p>
    <w:p w14:paraId="5EEE742C" w14:textId="0FBEFE93" w:rsidR="003B4BFB" w:rsidRPr="003B4BFB" w:rsidRDefault="003B4BFB" w:rsidP="003B4BFB">
      <w:pPr>
        <w:pStyle w:val="B2"/>
      </w:pPr>
      <w:r>
        <w:t>-</w:t>
      </w:r>
      <w:r>
        <w:tab/>
      </w:r>
      <w:r w:rsidRPr="003B4BFB">
        <w:t>Bell and TELUS together has nationwide access to 10 MHz of MBS – DL only (n29) in 700MHz spectrum.</w:t>
      </w:r>
    </w:p>
    <w:p w14:paraId="11B58997" w14:textId="2854DC2E" w:rsidR="0062176D" w:rsidRDefault="003B4BFB" w:rsidP="006D413C">
      <w:pPr>
        <w:pStyle w:val="B2"/>
      </w:pPr>
      <w:r>
        <w:t>-</w:t>
      </w:r>
      <w:r>
        <w:tab/>
      </w:r>
      <w:r w:rsidRPr="003B4BFB">
        <w:t>Band 29 reaches 83% of Canada’s pop.</w:t>
      </w:r>
    </w:p>
    <w:p w14:paraId="5192174B" w14:textId="77777777" w:rsidR="006D413C" w:rsidRDefault="006D413C" w:rsidP="00FA2DA6"/>
    <w:p w14:paraId="4D10E58F" w14:textId="77777777" w:rsidR="003B4BFB" w:rsidRDefault="003B4BFB" w:rsidP="00FA2DA6"/>
    <w:p w14:paraId="0E5F5B65" w14:textId="20F352A8" w:rsidR="0062176D" w:rsidRDefault="0062176D" w:rsidP="0062176D">
      <w:pPr>
        <w:pStyle w:val="Observation"/>
      </w:pPr>
      <w:bookmarkStart w:id="1" w:name="_Toc166398330"/>
      <w:bookmarkStart w:id="2" w:name="_Toc166416640"/>
      <w:bookmarkStart w:id="3" w:name="_Toc166481679"/>
      <w:bookmarkStart w:id="4" w:name="_Toc169596372"/>
      <w:bookmarkStart w:id="5" w:name="_Toc169602498"/>
      <w:bookmarkStart w:id="6" w:name="_Toc169605852"/>
      <w:bookmarkStart w:id="7" w:name="_Toc169605881"/>
      <w:bookmarkStart w:id="8" w:name="_Toc169684454"/>
      <w:bookmarkStart w:id="9" w:name="_Toc169761061"/>
      <w:bookmarkStart w:id="10" w:name="_Toc175339911"/>
      <w:bookmarkStart w:id="11" w:name="_Toc176785977"/>
      <w:bookmarkStart w:id="12" w:name="_Toc176786144"/>
      <w:bookmarkStart w:id="13" w:name="_Toc176796196"/>
      <w:bookmarkStart w:id="14" w:name="_Toc176860122"/>
      <w:bookmarkStart w:id="15" w:name="_Toc176860131"/>
      <w:bookmarkStart w:id="16" w:name="_Toc176860239"/>
      <w:bookmarkStart w:id="17" w:name="_Toc176862003"/>
      <w:bookmarkStart w:id="18" w:name="_Toc176869512"/>
      <w:bookmarkStart w:id="19" w:name="_Toc177730121"/>
      <w:bookmarkStart w:id="20" w:name="_Toc177734292"/>
      <w:bookmarkStart w:id="21" w:name="_Toc178923899"/>
      <w:bookmarkStart w:id="22" w:name="_Toc178924032"/>
      <w:r>
        <w:t>Observation 1:</w:t>
      </w:r>
      <w:r>
        <w:tab/>
      </w:r>
      <w:bookmarkEnd w:id="1"/>
      <w:bookmarkEnd w:id="2"/>
      <w:bookmarkEnd w:id="3"/>
      <w:bookmarkEnd w:id="4"/>
      <w:r w:rsidR="003B4BFB">
        <w:t xml:space="preserve">Band n29 </w:t>
      </w:r>
      <w:r w:rsidR="006D413C">
        <w:t xml:space="preserve">falls within the duplex gap of band n12 and leaves 1 MHz for the filter stopband between n12 UL and n29 DL.  With current duplexer technology, </w:t>
      </w:r>
      <w:r w:rsidR="005B2962">
        <w:t>a solution based on traditional carrier aggregation architecture does not seem feasible.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432F7B" w14:textId="77777777" w:rsidR="0062176D" w:rsidRDefault="0062176D" w:rsidP="00FA2DA6"/>
    <w:p w14:paraId="500E05AF" w14:textId="5B2E2D4E" w:rsidR="00455317" w:rsidRDefault="009F0509" w:rsidP="00455317">
      <w:r>
        <w:t xml:space="preserve">During the offline discussions in RAN #104, two additional operators (Anterix and Southern Linc) have identified another LB+LB scenario which carries very similar challenges as above.  </w:t>
      </w:r>
      <w:r w:rsidR="00455317">
        <w:t>The operators have provided the following problem statement:</w:t>
      </w:r>
    </w:p>
    <w:p w14:paraId="44FCEAA2" w14:textId="77777777" w:rsidR="00455317" w:rsidRDefault="00455317" w:rsidP="00455317">
      <w:pPr>
        <w:pStyle w:val="B1"/>
      </w:pPr>
      <w:r>
        <w:t>-</w:t>
      </w:r>
      <w:r>
        <w:tab/>
      </w:r>
      <w:r w:rsidRPr="00364C8A">
        <w:t>Our issue in the US market is with band 26 and 106 in the 900 MHz range (FDD) and band 48 (TDD).</w:t>
      </w:r>
    </w:p>
    <w:p w14:paraId="35C21D72" w14:textId="77777777" w:rsidR="00455317" w:rsidRDefault="00455317" w:rsidP="00455317">
      <w:pPr>
        <w:pStyle w:val="B1"/>
      </w:pPr>
      <w:r>
        <w:t>-</w:t>
      </w:r>
      <w:r>
        <w:tab/>
      </w:r>
      <w:r w:rsidRPr="00364C8A">
        <w:t xml:space="preserve">Our low bands provide the coverage layer and continuous connectivity but we cannot currently CA and have a need to do so as we're spectrum limited.  </w:t>
      </w:r>
    </w:p>
    <w:p w14:paraId="719199BB" w14:textId="77777777" w:rsidR="00455317" w:rsidRDefault="00455317" w:rsidP="00FA2DA6"/>
    <w:p w14:paraId="3CCF8D67" w14:textId="77777777" w:rsidR="009F0509" w:rsidRDefault="009F0509" w:rsidP="00FA2DA6"/>
    <w:p w14:paraId="261DD24A" w14:textId="14935DC0" w:rsidR="005B2962" w:rsidRDefault="005B2962" w:rsidP="005B2962">
      <w:pPr>
        <w:pStyle w:val="Observation"/>
      </w:pPr>
      <w:bookmarkStart w:id="23" w:name="_Toc169602499"/>
      <w:bookmarkStart w:id="24" w:name="_Toc169605853"/>
      <w:bookmarkStart w:id="25" w:name="_Toc169605882"/>
      <w:bookmarkStart w:id="26" w:name="_Toc169684455"/>
      <w:bookmarkStart w:id="27" w:name="_Toc169761062"/>
      <w:bookmarkStart w:id="28" w:name="_Toc175339912"/>
      <w:bookmarkStart w:id="29" w:name="_Toc176785978"/>
      <w:bookmarkStart w:id="30" w:name="_Toc176786145"/>
      <w:bookmarkStart w:id="31" w:name="_Toc176796197"/>
      <w:bookmarkStart w:id="32" w:name="_Toc176860123"/>
      <w:bookmarkStart w:id="33" w:name="_Toc176860132"/>
      <w:bookmarkStart w:id="34" w:name="_Toc176860240"/>
      <w:bookmarkStart w:id="35" w:name="_Toc176862004"/>
      <w:bookmarkStart w:id="36" w:name="_Toc176869513"/>
      <w:bookmarkStart w:id="37" w:name="_Toc177730122"/>
      <w:bookmarkStart w:id="38" w:name="_Toc177734293"/>
      <w:bookmarkStart w:id="39" w:name="_Toc178923900"/>
      <w:bookmarkStart w:id="40" w:name="_Toc178924033"/>
      <w:r>
        <w:t xml:space="preserve">Observation </w:t>
      </w:r>
      <w:r w:rsidR="00F10A39">
        <w:t>2</w:t>
      </w:r>
      <w:r>
        <w:t>:</w:t>
      </w:r>
      <w:r>
        <w:tab/>
        <w:t>Band n106 UL is separated from band n26 DL by 2 MHz</w:t>
      </w:r>
      <w:r w:rsidR="00F10A39">
        <w:t>.</w:t>
      </w:r>
      <w:r>
        <w:t xml:space="preserve">  With current duplexer technology, a solution based on traditional carrier aggregation architecture does not seem feasible.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C4DE639" w14:textId="77777777" w:rsidR="00364C8A" w:rsidRDefault="00364C8A" w:rsidP="00FA2DA6"/>
    <w:p w14:paraId="6E344DD9" w14:textId="5D5049E7" w:rsidR="00DC63AD" w:rsidRDefault="00DC63AD" w:rsidP="00FA2DA6">
      <w:r>
        <w:t>Another scenario, suggested by BT, involves the band combination with the supplemental downlink band n67.</w:t>
      </w:r>
    </w:p>
    <w:p w14:paraId="39A5C477" w14:textId="77777777" w:rsidR="00DC63AD" w:rsidRDefault="00DC63AD" w:rsidP="00DC63AD"/>
    <w:p w14:paraId="276ECC98" w14:textId="57002AB6" w:rsidR="00DC63AD" w:rsidRDefault="00DC63AD" w:rsidP="00DC63AD">
      <w:pPr>
        <w:pStyle w:val="Observation"/>
      </w:pPr>
      <w:bookmarkStart w:id="41" w:name="_Toc169684456"/>
      <w:bookmarkStart w:id="42" w:name="_Toc169761063"/>
      <w:bookmarkStart w:id="43" w:name="_Toc175339913"/>
      <w:bookmarkStart w:id="44" w:name="_Toc176785979"/>
      <w:bookmarkStart w:id="45" w:name="_Toc176786146"/>
      <w:bookmarkStart w:id="46" w:name="_Toc176796198"/>
      <w:bookmarkStart w:id="47" w:name="_Toc176860124"/>
      <w:bookmarkStart w:id="48" w:name="_Toc176860133"/>
      <w:bookmarkStart w:id="49" w:name="_Toc176860241"/>
      <w:bookmarkStart w:id="50" w:name="_Toc176862005"/>
      <w:bookmarkStart w:id="51" w:name="_Toc176869514"/>
      <w:bookmarkStart w:id="52" w:name="_Toc177730123"/>
      <w:bookmarkStart w:id="53" w:name="_Toc177734294"/>
      <w:bookmarkStart w:id="54" w:name="_Toc178923901"/>
      <w:bookmarkStart w:id="55" w:name="_Toc178924034"/>
      <w:r>
        <w:t>Observation 3:</w:t>
      </w:r>
      <w:r>
        <w:tab/>
        <w:t>Band n67 DL overlaps with band n28 UL.  With current duplexer technology, a solution based on traditional carrier aggregation architecture does not seem feasible.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C8BE5E6" w14:textId="77777777" w:rsidR="0076010A" w:rsidRDefault="0076010A" w:rsidP="00FA2DA6"/>
    <w:p w14:paraId="51EABF42" w14:textId="55C89DDE" w:rsidR="004A34DE" w:rsidRDefault="004876E5" w:rsidP="00A25141">
      <w:r>
        <w:t>An</w:t>
      </w:r>
      <w:r w:rsidR="0008335B">
        <w:t xml:space="preserve"> additional scenario, suggested by </w:t>
      </w:r>
      <w:r>
        <w:t xml:space="preserve">Bell Mobility and </w:t>
      </w:r>
      <w:r w:rsidR="0008335B">
        <w:t>AT&amp;T, involve</w:t>
      </w:r>
      <w:r>
        <w:t>s</w:t>
      </w:r>
      <w:r w:rsidR="0008335B">
        <w:t xml:space="preserve"> the aggregation of </w:t>
      </w:r>
      <w:r w:rsidR="0007201D">
        <w:t xml:space="preserve">n5 with </w:t>
      </w:r>
      <w:r>
        <w:t>n29</w:t>
      </w:r>
      <w:r w:rsidR="0007201D">
        <w:t>.</w:t>
      </w:r>
      <w:r w:rsidR="00A25141">
        <w:t xml:space="preserve">  From the duplexer design perspective, the frequency separation between the bands does not pose a feasibility challenge in general.  </w:t>
      </w:r>
      <w:r w:rsidR="00F66D3E">
        <w:t xml:space="preserve">However, </w:t>
      </w:r>
      <w:r w:rsidR="00A25141">
        <w:t>the large fractional bandwidth carries additional implementation challenges for smartphones</w:t>
      </w:r>
      <w:r w:rsidR="00F66D3E">
        <w:t xml:space="preserve"> from the antenna design perspective</w:t>
      </w:r>
      <w:r w:rsidR="00A25141">
        <w:t xml:space="preserve">.  If the OEM chooses to implement a single antenna to aggregate these bands, then some tuning solution might become necessary to optimize performance.  Optimization </w:t>
      </w:r>
      <w:r w:rsidR="00F66D3E">
        <w:t>for</w:t>
      </w:r>
      <w:r w:rsidR="00A25141">
        <w:t xml:space="preserve"> both bands simultaneously can be challenging due to their separation in frequency.  A potential design choice to implement additional antenna elements to support </w:t>
      </w:r>
      <w:r w:rsidR="006C6E03">
        <w:t>these</w:t>
      </w:r>
      <w:r w:rsidR="00A25141">
        <w:t xml:space="preserve"> combination</w:t>
      </w:r>
      <w:r w:rsidR="006C6E03">
        <w:t>s</w:t>
      </w:r>
      <w:r w:rsidR="00A25141">
        <w:t xml:space="preserve"> may carry cost and RF architecture complexity impacts in terms of additional components and volume in the form factor.</w:t>
      </w:r>
      <w:r w:rsidR="00063119">
        <w:t xml:space="preserve">  Although the band combination is already specified in TS38.101-1, this practical implementation challenge may pose a barrier for the combination’s adoption in a wide range of devices.</w:t>
      </w:r>
    </w:p>
    <w:p w14:paraId="6B50EED6" w14:textId="77777777" w:rsidR="0007201D" w:rsidRDefault="0007201D" w:rsidP="004A34DE"/>
    <w:p w14:paraId="6B1593B3" w14:textId="1710CC7F" w:rsidR="000259B7" w:rsidRDefault="000259B7" w:rsidP="000259B7">
      <w:pPr>
        <w:pStyle w:val="Observation"/>
      </w:pPr>
      <w:bookmarkStart w:id="56" w:name="_Toc175339914"/>
      <w:bookmarkStart w:id="57" w:name="_Toc176785980"/>
      <w:bookmarkStart w:id="58" w:name="_Toc176786147"/>
      <w:bookmarkStart w:id="59" w:name="_Toc176796199"/>
      <w:bookmarkStart w:id="60" w:name="_Toc176860125"/>
      <w:bookmarkStart w:id="61" w:name="_Toc176860134"/>
      <w:bookmarkStart w:id="62" w:name="_Toc176860242"/>
      <w:bookmarkStart w:id="63" w:name="_Toc176862006"/>
      <w:bookmarkStart w:id="64" w:name="_Toc176869515"/>
      <w:bookmarkStart w:id="65" w:name="_Toc177730124"/>
      <w:bookmarkStart w:id="66" w:name="_Toc177734295"/>
      <w:bookmarkStart w:id="67" w:name="_Toc178923902"/>
      <w:bookmarkStart w:id="68" w:name="_Toc178924035"/>
      <w:r>
        <w:t>Observation 4:</w:t>
      </w:r>
      <w:r>
        <w:tab/>
      </w:r>
      <w:r w:rsidR="006C6E03">
        <w:t>In the case of aggregating</w:t>
      </w:r>
      <w:r>
        <w:t xml:space="preserve"> </w:t>
      </w:r>
      <w:r w:rsidR="006C6E03">
        <w:t>n5</w:t>
      </w:r>
      <w:r w:rsidR="0031479B">
        <w:t xml:space="preserve"> with </w:t>
      </w:r>
      <w:r w:rsidR="006C6E03">
        <w:t>n</w:t>
      </w:r>
      <w:r w:rsidR="004876E5">
        <w:t>29</w:t>
      </w:r>
      <w:r w:rsidR="006C6E03">
        <w:t xml:space="preserve"> </w:t>
      </w:r>
      <w:r w:rsidR="006D2549">
        <w:t>via a single antenna</w:t>
      </w:r>
      <w:r w:rsidR="006C6E03">
        <w:t>, o</w:t>
      </w:r>
      <w:r w:rsidR="006C6E03" w:rsidRPr="006C6E03">
        <w:t xml:space="preserve">ptimization of </w:t>
      </w:r>
      <w:r w:rsidR="006C6E03">
        <w:t xml:space="preserve">radiated </w:t>
      </w:r>
      <w:r w:rsidR="006C6E03" w:rsidRPr="006C6E03">
        <w:t>performance in both bands simultaneously can be challenging due to their separation in frequency</w:t>
      </w:r>
      <w:r w:rsidR="006C6E03">
        <w:t xml:space="preserve">, while a potential design </w:t>
      </w:r>
      <w:r w:rsidR="006C6E03" w:rsidRPr="006C6E03">
        <w:t xml:space="preserve">choice to implement additional antenna elements to support </w:t>
      </w:r>
      <w:r w:rsidR="006C6E03">
        <w:t>these</w:t>
      </w:r>
      <w:r w:rsidR="006C6E03" w:rsidRPr="006C6E03">
        <w:t xml:space="preserve"> combination</w:t>
      </w:r>
      <w:r w:rsidR="00B92E47">
        <w:t>s</w:t>
      </w:r>
      <w:r w:rsidR="006C6E03" w:rsidRPr="006C6E03">
        <w:t xml:space="preserve"> may carry cost and RF architecture complexity impacts in terms of additional components and volume in the form factor</w:t>
      </w:r>
      <w:r w:rsidR="006C6E03">
        <w:t>.</w:t>
      </w:r>
      <w:bookmarkEnd w:id="56"/>
      <w:bookmarkEnd w:id="57"/>
      <w:bookmarkEnd w:id="58"/>
      <w:bookmarkEnd w:id="59"/>
      <w:bookmarkEnd w:id="60"/>
      <w:bookmarkEnd w:id="61"/>
      <w:bookmarkEnd w:id="62"/>
      <w:bookmarkEnd w:id="63"/>
      <w:bookmarkEnd w:id="64"/>
      <w:bookmarkEnd w:id="65"/>
      <w:bookmarkEnd w:id="66"/>
      <w:bookmarkEnd w:id="67"/>
      <w:bookmarkEnd w:id="68"/>
    </w:p>
    <w:p w14:paraId="5DC4C4AD" w14:textId="77777777" w:rsidR="000259B7" w:rsidRDefault="000259B7" w:rsidP="004A34DE"/>
    <w:p w14:paraId="0C4555BC" w14:textId="2E29DD3B" w:rsidR="0031479B" w:rsidRPr="00523E02" w:rsidRDefault="00886D2E" w:rsidP="004A34DE">
      <w:r w:rsidRPr="00523E02">
        <w:t>AT&amp;T further suggested a scenario which involves the aggregation of n14</w:t>
      </w:r>
      <w:r w:rsidR="0031479B" w:rsidRPr="00523E02">
        <w:t xml:space="preserve"> with n29</w:t>
      </w:r>
      <w:r w:rsidRPr="00523E02">
        <w:t>.</w:t>
      </w:r>
      <w:r w:rsidR="00523E02">
        <w:t xml:space="preserve">  Similar to the scenario identified in Observation 1, a solution based on switching between n14 and n29 operation, including the option to aggregate the downlink of n14 and n29 based on UE capability, is useful to consider.</w:t>
      </w:r>
    </w:p>
    <w:p w14:paraId="46500A65" w14:textId="77777777" w:rsidR="00886D2E" w:rsidRPr="00523E02" w:rsidRDefault="00886D2E" w:rsidP="004A34DE"/>
    <w:p w14:paraId="497C061E" w14:textId="65F40696" w:rsidR="00886D2E" w:rsidRDefault="00886D2E" w:rsidP="00886D2E">
      <w:pPr>
        <w:pStyle w:val="Observation"/>
      </w:pPr>
      <w:bookmarkStart w:id="69" w:name="_Toc176860126"/>
      <w:bookmarkStart w:id="70" w:name="_Toc176860135"/>
      <w:bookmarkStart w:id="71" w:name="_Toc176860243"/>
      <w:bookmarkStart w:id="72" w:name="_Toc176862007"/>
      <w:bookmarkStart w:id="73" w:name="_Toc176869516"/>
      <w:bookmarkStart w:id="74" w:name="_Toc177730125"/>
      <w:bookmarkStart w:id="75" w:name="_Toc177734296"/>
      <w:bookmarkStart w:id="76" w:name="_Toc178923903"/>
      <w:bookmarkStart w:id="77" w:name="_Toc178924036"/>
      <w:r w:rsidRPr="00523E02">
        <w:t xml:space="preserve">Observation </w:t>
      </w:r>
      <w:r w:rsidR="00793DFD" w:rsidRPr="00523E02">
        <w:t>5</w:t>
      </w:r>
      <w:r w:rsidRPr="00523E02">
        <w:t>:</w:t>
      </w:r>
      <w:r w:rsidRPr="00523E02">
        <w:tab/>
        <w:t>In the case of aggregating n14</w:t>
      </w:r>
      <w:r w:rsidR="0031479B" w:rsidRPr="00523E02">
        <w:t xml:space="preserve"> with n29</w:t>
      </w:r>
      <w:bookmarkEnd w:id="69"/>
      <w:bookmarkEnd w:id="70"/>
      <w:bookmarkEnd w:id="71"/>
      <w:bookmarkEnd w:id="72"/>
      <w:r w:rsidR="00523E02">
        <w:t>, a solution based on switching the n14 and n29 carriers is useful to consider.</w:t>
      </w:r>
      <w:bookmarkEnd w:id="73"/>
      <w:bookmarkEnd w:id="74"/>
      <w:bookmarkEnd w:id="75"/>
      <w:bookmarkEnd w:id="76"/>
      <w:bookmarkEnd w:id="77"/>
    </w:p>
    <w:p w14:paraId="65BC07B9" w14:textId="77777777" w:rsidR="00886D2E" w:rsidRDefault="00886D2E" w:rsidP="004A34DE"/>
    <w:p w14:paraId="2D51B695" w14:textId="77777777" w:rsidR="004044A1" w:rsidRDefault="004044A1" w:rsidP="004044A1">
      <w:r>
        <w:t xml:space="preserve">Telus has suggested a scenario which involves the aggregation of n29 with n71.  Similarly to the scenario captured in Observation 5, this band combination is already specified in TS38.101-1, but the practical implementation challenge associated with the large fractional bandwidth may be a </w:t>
      </w:r>
      <w:r>
        <w:lastRenderedPageBreak/>
        <w:t>barrier to wide adoption of the band combination.  From this perspective, it is helpful to consider the switching solution as a candidate solution for this band combination.</w:t>
      </w:r>
    </w:p>
    <w:p w14:paraId="66881342" w14:textId="32D64A8C" w:rsidR="004044A1" w:rsidRDefault="004044A1" w:rsidP="004A34DE"/>
    <w:p w14:paraId="16E92029" w14:textId="437332A0" w:rsidR="004044A1" w:rsidRDefault="004044A1" w:rsidP="004044A1">
      <w:pPr>
        <w:pStyle w:val="Observation"/>
      </w:pPr>
      <w:bookmarkStart w:id="78" w:name="_Toc176862008"/>
      <w:bookmarkStart w:id="79" w:name="_Toc176869517"/>
      <w:bookmarkStart w:id="80" w:name="_Toc177730126"/>
      <w:bookmarkStart w:id="81" w:name="_Toc177734297"/>
      <w:bookmarkStart w:id="82" w:name="_Toc178923904"/>
      <w:bookmarkStart w:id="83" w:name="_Toc178924037"/>
      <w:r>
        <w:t>Observation 6:</w:t>
      </w:r>
      <w:r>
        <w:tab/>
        <w:t>In the case of aggregating n29</w:t>
      </w:r>
      <w:r w:rsidR="0031479B">
        <w:t xml:space="preserve"> with </w:t>
      </w:r>
      <w:r>
        <w:t>n71 via a single antenna, o</w:t>
      </w:r>
      <w:r w:rsidRPr="006C6E03">
        <w:t xml:space="preserve">ptimization of </w:t>
      </w:r>
      <w:r>
        <w:t xml:space="preserve">radiated </w:t>
      </w:r>
      <w:r w:rsidRPr="006C6E03">
        <w:t>performance in both bands simultaneously can be challenging due to their separation in frequency</w:t>
      </w:r>
      <w:r>
        <w:t xml:space="preserve">, while a potential design </w:t>
      </w:r>
      <w:r w:rsidRPr="006C6E03">
        <w:t xml:space="preserve">choice to implement additional antenna elements to support </w:t>
      </w:r>
      <w:r>
        <w:t>these</w:t>
      </w:r>
      <w:r w:rsidRPr="006C6E03">
        <w:t xml:space="preserve"> combination</w:t>
      </w:r>
      <w:r>
        <w:t>s</w:t>
      </w:r>
      <w:r w:rsidRPr="006C6E03">
        <w:t xml:space="preserve"> may carry cost and RF architecture complexity impacts in terms of additional components and volume in the form factor</w:t>
      </w:r>
      <w:r>
        <w:t>.</w:t>
      </w:r>
      <w:bookmarkEnd w:id="78"/>
      <w:bookmarkEnd w:id="79"/>
      <w:bookmarkEnd w:id="80"/>
      <w:bookmarkEnd w:id="81"/>
      <w:bookmarkEnd w:id="82"/>
      <w:bookmarkEnd w:id="83"/>
    </w:p>
    <w:p w14:paraId="79BBF0AB" w14:textId="77777777" w:rsidR="004044A1" w:rsidRDefault="004044A1" w:rsidP="004A34DE"/>
    <w:p w14:paraId="61B6CD4F" w14:textId="65B5CE45" w:rsidR="0007201D" w:rsidRDefault="0007201D" w:rsidP="004A34DE">
      <w:r>
        <w:t xml:space="preserve">The frequency arrangements for each </w:t>
      </w:r>
      <w:r w:rsidR="009012B7">
        <w:t>band combination</w:t>
      </w:r>
      <w:r>
        <w:t xml:space="preserve"> are shown in Figure 1 below.</w:t>
      </w:r>
    </w:p>
    <w:p w14:paraId="03C0E45B" w14:textId="77777777" w:rsidR="0007201D" w:rsidRDefault="0007201D" w:rsidP="004A34DE"/>
    <w:p w14:paraId="16D83E56" w14:textId="2E256D68" w:rsidR="0007201D" w:rsidRDefault="00C25A1A" w:rsidP="0007201D">
      <w:pPr>
        <w:jc w:val="center"/>
      </w:pPr>
      <w:r w:rsidRPr="00C25A1A">
        <w:rPr>
          <w:noProof/>
        </w:rPr>
        <w:drawing>
          <wp:inline distT="0" distB="0" distL="0" distR="0" wp14:anchorId="6CE2EA1F" wp14:editId="11334AA8">
            <wp:extent cx="5486400" cy="5082361"/>
            <wp:effectExtent l="0" t="0" r="0" b="0"/>
            <wp:docPr id="533143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43970" name=""/>
                    <pic:cNvPicPr/>
                  </pic:nvPicPr>
                  <pic:blipFill>
                    <a:blip r:embed="rId9"/>
                    <a:stretch>
                      <a:fillRect/>
                    </a:stretch>
                  </pic:blipFill>
                  <pic:spPr>
                    <a:xfrm>
                      <a:off x="0" y="0"/>
                      <a:ext cx="5486400" cy="5082361"/>
                    </a:xfrm>
                    <a:prstGeom prst="rect">
                      <a:avLst/>
                    </a:prstGeom>
                  </pic:spPr>
                </pic:pic>
              </a:graphicData>
            </a:graphic>
          </wp:inline>
        </w:drawing>
      </w:r>
    </w:p>
    <w:p w14:paraId="2FB804C2" w14:textId="6D3A541C" w:rsidR="0007201D" w:rsidRPr="009F0509" w:rsidRDefault="0007201D" w:rsidP="0007201D">
      <w:pPr>
        <w:pStyle w:val="TF"/>
      </w:pPr>
      <w:r w:rsidRPr="009F0509">
        <w:t xml:space="preserve">Figure 1: </w:t>
      </w:r>
      <w:r>
        <w:t xml:space="preserve">Frequency arrangement of investigated </w:t>
      </w:r>
      <w:r w:rsidR="005E4C3B">
        <w:t>low</w:t>
      </w:r>
      <w:r>
        <w:t xml:space="preserve"> </w:t>
      </w:r>
      <w:r w:rsidR="009012B7">
        <w:t>band</w:t>
      </w:r>
      <w:r w:rsidR="005E4C3B">
        <w:t xml:space="preserve"> aggregation</w:t>
      </w:r>
      <w:r w:rsidR="009012B7">
        <w:t xml:space="preserve"> combinations</w:t>
      </w:r>
    </w:p>
    <w:p w14:paraId="063A33B7" w14:textId="77777777" w:rsidR="004A34DE" w:rsidRDefault="004A34DE" w:rsidP="00FA2DA6"/>
    <w:p w14:paraId="40743A8C" w14:textId="76DF1B92" w:rsidR="00775E0B" w:rsidRDefault="0027230C" w:rsidP="00FA2DA6">
      <w:r>
        <w:t xml:space="preserve">According to the proposed concept in </w:t>
      </w:r>
      <w:r>
        <w:fldChar w:fldCharType="begin"/>
      </w:r>
      <w:r>
        <w:instrText xml:space="preserve"> REF _Ref169596705 \r \h </w:instrText>
      </w:r>
      <w:r>
        <w:fldChar w:fldCharType="separate"/>
      </w:r>
      <w:r w:rsidR="00632CB1">
        <w:t>[1]</w:t>
      </w:r>
      <w:r>
        <w:fldChar w:fldCharType="end"/>
      </w:r>
      <w:r>
        <w:t xml:space="preserve">, a switching scheme can be a feasible architecture to </w:t>
      </w:r>
      <w:r w:rsidR="001323A5">
        <w:t>apply to the considered band combinations</w:t>
      </w:r>
      <w:r>
        <w:t xml:space="preserve">, as shown in Figure </w:t>
      </w:r>
      <w:r w:rsidR="0007201D">
        <w:t>2</w:t>
      </w:r>
      <w:r w:rsidR="00DC63AD">
        <w:t xml:space="preserve"> </w:t>
      </w:r>
      <w:r>
        <w:t>below.</w:t>
      </w:r>
    </w:p>
    <w:p w14:paraId="3BFD33E5" w14:textId="77777777" w:rsidR="0027230C" w:rsidRDefault="0027230C" w:rsidP="00FA2DA6"/>
    <w:p w14:paraId="3094FB78" w14:textId="1E52BB83" w:rsidR="00004F18" w:rsidRDefault="00E83A3D" w:rsidP="00004F18">
      <w:pPr>
        <w:jc w:val="center"/>
      </w:pPr>
      <w:r w:rsidRPr="00E83A3D">
        <w:rPr>
          <w:noProof/>
        </w:rPr>
        <w:lastRenderedPageBreak/>
        <w:drawing>
          <wp:inline distT="0" distB="0" distL="0" distR="0" wp14:anchorId="66F06029" wp14:editId="2B3B2E73">
            <wp:extent cx="2743200" cy="1526245"/>
            <wp:effectExtent l="0" t="0" r="0" b="0"/>
            <wp:docPr id="18205642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564286" name=""/>
                    <pic:cNvPicPr/>
                  </pic:nvPicPr>
                  <pic:blipFill>
                    <a:blip r:embed="rId10"/>
                    <a:stretch>
                      <a:fillRect/>
                    </a:stretch>
                  </pic:blipFill>
                  <pic:spPr>
                    <a:xfrm>
                      <a:off x="0" y="0"/>
                      <a:ext cx="2743200" cy="1526245"/>
                    </a:xfrm>
                    <a:prstGeom prst="rect">
                      <a:avLst/>
                    </a:prstGeom>
                  </pic:spPr>
                </pic:pic>
              </a:graphicData>
            </a:graphic>
          </wp:inline>
        </w:drawing>
      </w:r>
    </w:p>
    <w:p w14:paraId="22FC0A73" w14:textId="69810DC9" w:rsidR="00364C8A" w:rsidRPr="0027230C" w:rsidRDefault="0027230C" w:rsidP="0027230C">
      <w:pPr>
        <w:pStyle w:val="TF"/>
      </w:pPr>
      <w:r w:rsidRPr="0027230C">
        <w:t xml:space="preserve">Figure </w:t>
      </w:r>
      <w:r w:rsidR="00004F18">
        <w:t>2</w:t>
      </w:r>
      <w:r w:rsidRPr="0027230C">
        <w:t xml:space="preserve">: </w:t>
      </w:r>
      <w:r w:rsidR="00E83A3D">
        <w:t>Proposed s</w:t>
      </w:r>
      <w:r w:rsidRPr="0027230C">
        <w:t>witching architecture</w:t>
      </w:r>
    </w:p>
    <w:p w14:paraId="62D51A7C" w14:textId="001A4B47" w:rsidR="0027230C" w:rsidRDefault="0027230C" w:rsidP="00FA2DA6"/>
    <w:p w14:paraId="38A50277" w14:textId="77777777" w:rsidR="00531A1A" w:rsidRDefault="00531A1A" w:rsidP="00531A1A">
      <w:r>
        <w:t>An enhancement of the 3GPP specification is needed to enable the following solution:</w:t>
      </w:r>
    </w:p>
    <w:p w14:paraId="2D5C60E7" w14:textId="77777777" w:rsidR="00531A1A" w:rsidRDefault="00531A1A" w:rsidP="00531A1A">
      <w:pPr>
        <w:pStyle w:val="B1"/>
      </w:pPr>
      <w:r>
        <w:t>-</w:t>
      </w:r>
      <w:r>
        <w:tab/>
      </w:r>
      <w:r w:rsidRPr="00D534F3">
        <w:t>Device needs to support inter-carrier scheduling: UE monitors</w:t>
      </w:r>
      <w:r>
        <w:t xml:space="preserve"> the</w:t>
      </w:r>
      <w:r w:rsidRPr="00D534F3">
        <w:t xml:space="preserve"> </w:t>
      </w:r>
      <w:r>
        <w:t xml:space="preserve">PCell on the FDD carrier for </w:t>
      </w:r>
      <w:r w:rsidRPr="00D534F3">
        <w:t xml:space="preserve">PDCCH DCI, which has </w:t>
      </w:r>
      <w:r>
        <w:t xml:space="preserve">scheduling information for both (FDD and SDL) bands </w:t>
      </w:r>
    </w:p>
    <w:p w14:paraId="4BFE574F" w14:textId="77777777" w:rsidR="00531A1A" w:rsidRDefault="00531A1A" w:rsidP="00531A1A">
      <w:pPr>
        <w:pStyle w:val="B1"/>
      </w:pPr>
      <w:r>
        <w:t>-</w:t>
      </w:r>
      <w:r>
        <w:tab/>
      </w:r>
      <w:r w:rsidRPr="00D534F3">
        <w:t>Device needs to support TTI level switching</w:t>
      </w:r>
      <w:r>
        <w:t>:</w:t>
      </w:r>
      <w:r w:rsidRPr="00D534F3">
        <w:t xml:space="preserve"> when </w:t>
      </w:r>
      <w:r>
        <w:t>the SCell</w:t>
      </w:r>
      <w:r w:rsidRPr="00D534F3">
        <w:t xml:space="preserve"> is scheduled, UE needs to switch to </w:t>
      </w:r>
      <w:r>
        <w:t>the SCell</w:t>
      </w:r>
      <w:r w:rsidRPr="00D534F3">
        <w:t xml:space="preserve"> filter, and during th</w:t>
      </w:r>
      <w:r>
        <w:t>e scheduled period</w:t>
      </w:r>
      <w:r w:rsidRPr="00D534F3">
        <w:t xml:space="preserve"> there is no simultaneous </w:t>
      </w:r>
      <w:r>
        <w:t>Tx/Rx between the PCell and the SCell</w:t>
      </w:r>
    </w:p>
    <w:p w14:paraId="77683FEC" w14:textId="77777777" w:rsidR="00531A1A" w:rsidRDefault="00531A1A" w:rsidP="00531A1A">
      <w:pPr>
        <w:pStyle w:val="B1"/>
      </w:pPr>
      <w:r>
        <w:t>-</w:t>
      </w:r>
      <w:r>
        <w:tab/>
      </w:r>
      <w:r w:rsidRPr="00D534F3">
        <w:t xml:space="preserve">Device switches back to </w:t>
      </w:r>
      <w:r>
        <w:t>the PCell</w:t>
      </w:r>
      <w:r w:rsidRPr="00D534F3">
        <w:t xml:space="preserve"> duplexer after </w:t>
      </w:r>
      <w:r>
        <w:t>the SCell</w:t>
      </w:r>
      <w:r w:rsidRPr="00D534F3">
        <w:t xml:space="preserve"> scheduled </w:t>
      </w:r>
      <w:r>
        <w:t>period</w:t>
      </w:r>
      <w:r w:rsidRPr="00D534F3">
        <w:t xml:space="preserve"> is finished</w:t>
      </w:r>
    </w:p>
    <w:p w14:paraId="5A163633" w14:textId="05DA28C8" w:rsidR="004D7261" w:rsidRDefault="004D7261" w:rsidP="004D7261">
      <w:pPr>
        <w:pStyle w:val="Heading2"/>
      </w:pPr>
      <w:r>
        <w:t>2.2</w:t>
      </w:r>
      <w:r>
        <w:tab/>
        <w:t>Proposed Objectives</w:t>
      </w:r>
    </w:p>
    <w:p w14:paraId="5F7A764D" w14:textId="013F513F" w:rsidR="003706D7" w:rsidRDefault="003706D7" w:rsidP="00FA2DA6">
      <w:r>
        <w:t xml:space="preserve">Considering that 3GPP has already specified the Tx Switching suite of features (with components and enhancements adopted in Rel-16 through Rel-18), it is useful for 3GPP to consider the application of this framework to </w:t>
      </w:r>
      <w:r w:rsidR="001953CF">
        <w:t>the</w:t>
      </w:r>
      <w:r>
        <w:t xml:space="preserve"> </w:t>
      </w:r>
      <w:r w:rsidR="001953CF">
        <w:t xml:space="preserve">listed </w:t>
      </w:r>
      <w:r>
        <w:t>scenario</w:t>
      </w:r>
      <w:r w:rsidR="001953CF">
        <w:t>s</w:t>
      </w:r>
      <w:r>
        <w:t>.</w:t>
      </w:r>
    </w:p>
    <w:p w14:paraId="7CEA4FA0" w14:textId="77777777" w:rsidR="003706D7" w:rsidRDefault="003706D7" w:rsidP="00FA2DA6"/>
    <w:p w14:paraId="64FB3F49" w14:textId="27427D74" w:rsidR="001D2656" w:rsidRDefault="001D2656" w:rsidP="001D2656">
      <w:pPr>
        <w:pStyle w:val="Proposal"/>
      </w:pPr>
      <w:bookmarkStart w:id="84" w:name="_Toc166398331"/>
      <w:bookmarkStart w:id="85" w:name="_Toc166416642"/>
      <w:bookmarkStart w:id="86" w:name="_Toc166481681"/>
      <w:bookmarkStart w:id="87" w:name="_Toc169596373"/>
      <w:bookmarkStart w:id="88" w:name="_Toc169602500"/>
      <w:bookmarkStart w:id="89" w:name="_Toc169605854"/>
      <w:bookmarkStart w:id="90" w:name="_Toc169605883"/>
      <w:bookmarkStart w:id="91" w:name="_Toc169684457"/>
      <w:bookmarkStart w:id="92" w:name="_Toc169761064"/>
      <w:bookmarkStart w:id="93" w:name="_Toc175339915"/>
      <w:bookmarkStart w:id="94" w:name="_Toc176785981"/>
      <w:bookmarkStart w:id="95" w:name="_Toc176786148"/>
      <w:bookmarkStart w:id="96" w:name="_Toc176796200"/>
      <w:bookmarkStart w:id="97" w:name="_Toc176860127"/>
      <w:bookmarkStart w:id="98" w:name="_Toc176860136"/>
      <w:bookmarkStart w:id="99" w:name="_Toc176860244"/>
      <w:bookmarkStart w:id="100" w:name="_Toc176862009"/>
      <w:bookmarkStart w:id="101" w:name="_Toc176869518"/>
      <w:bookmarkStart w:id="102" w:name="_Toc177730127"/>
      <w:bookmarkStart w:id="103" w:name="_Toc177734298"/>
      <w:bookmarkStart w:id="104" w:name="_Toc178923905"/>
      <w:bookmarkStart w:id="105" w:name="_Toc178924038"/>
      <w:r>
        <w:t>Proposal 1:</w:t>
      </w:r>
      <w:r>
        <w:tab/>
      </w:r>
      <w:bookmarkEnd w:id="84"/>
      <w:bookmarkEnd w:id="85"/>
      <w:bookmarkEnd w:id="86"/>
      <w:bookmarkEnd w:id="87"/>
      <w:bookmarkEnd w:id="88"/>
      <w:r w:rsidR="003706D7">
        <w:t>An enhancement of the 3GPP specification is needed to enable LB+LB carrier aggregation based on switching</w:t>
      </w:r>
      <w:r w:rsidR="008E3475">
        <w: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E496C65" w14:textId="77777777" w:rsidR="001D2656" w:rsidRDefault="001D2656" w:rsidP="00FA2DA6"/>
    <w:p w14:paraId="03CA9A77" w14:textId="47A3D858" w:rsidR="00281076" w:rsidRDefault="00281076" w:rsidP="00FA2DA6">
      <w:r>
        <w:t>Recognizing that this work item has impact on the RAN1 working group, the proposed objectives strive to minimize the impact on the physical layer procedures and are intended to implement the minimum useful functionality, from the operators’ perspective.</w:t>
      </w:r>
      <w:r w:rsidR="000670D4">
        <w:t xml:space="preserve">  Additionally, the operators have prioritized the suggested effort on the proposed band combination with </w:t>
      </w:r>
      <w:r w:rsidR="001C26A4">
        <w:t>one</w:t>
      </w:r>
      <w:r w:rsidR="000670D4">
        <w:t xml:space="preserve"> example band combination</w:t>
      </w:r>
      <w:r w:rsidR="00CA6376">
        <w:t xml:space="preserve"> (</w:t>
      </w:r>
      <w:r w:rsidR="001C26A4" w:rsidRPr="001C26A4">
        <w:t>CA_n5A-n29A</w:t>
      </w:r>
      <w:r w:rsidR="00CA6376">
        <w:t>)</w:t>
      </w:r>
      <w:r w:rsidR="000670D4">
        <w:t xml:space="preserve"> to be completed as part of the proposed work item and the remaining combinations to be handled via the band combination basket work item approach.</w:t>
      </w:r>
    </w:p>
    <w:p w14:paraId="2B54FA3F" w14:textId="77777777" w:rsidR="00281076" w:rsidRDefault="00281076" w:rsidP="00FA2DA6"/>
    <w:p w14:paraId="0AAE9D63" w14:textId="2FDE0228" w:rsidR="00CD44B5" w:rsidRDefault="003D0304" w:rsidP="000E10D3">
      <w:pPr>
        <w:pStyle w:val="Proposal"/>
      </w:pPr>
      <w:bookmarkStart w:id="106" w:name="_Toc169605855"/>
      <w:bookmarkStart w:id="107" w:name="_Toc169605884"/>
      <w:bookmarkStart w:id="108" w:name="_Toc169684458"/>
      <w:bookmarkStart w:id="109" w:name="_Toc169761065"/>
      <w:bookmarkStart w:id="110" w:name="_Toc175339916"/>
      <w:bookmarkStart w:id="111" w:name="_Toc176785982"/>
      <w:bookmarkStart w:id="112" w:name="_Toc176786149"/>
      <w:bookmarkStart w:id="113" w:name="_Toc176796201"/>
      <w:bookmarkStart w:id="114" w:name="_Toc176860128"/>
      <w:bookmarkStart w:id="115" w:name="_Toc176860137"/>
      <w:bookmarkStart w:id="116" w:name="_Toc176860245"/>
      <w:bookmarkStart w:id="117" w:name="_Toc176862010"/>
      <w:bookmarkStart w:id="118" w:name="_Toc176869519"/>
      <w:bookmarkStart w:id="119" w:name="_Toc177730128"/>
      <w:bookmarkStart w:id="120" w:name="_Toc177734299"/>
      <w:bookmarkStart w:id="121" w:name="_Toc178923906"/>
      <w:bookmarkStart w:id="122" w:name="_Toc178924039"/>
      <w:r>
        <w:t>Proposal 2:</w:t>
      </w:r>
      <w:r>
        <w:tab/>
      </w:r>
      <w:r w:rsidRPr="003D0304">
        <w:t xml:space="preserve">The </w:t>
      </w:r>
      <w:r w:rsidR="00CA6376">
        <w:t xml:space="preserve">proposed objectives are provided in </w:t>
      </w:r>
      <w:r w:rsidR="001C26A4" w:rsidRPr="001C26A4">
        <w:t>R4-2415342</w:t>
      </w:r>
      <w:r w:rsidR="00CA6376">
        <w:t xml:space="preserve"> for information and further refinement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00CA6376">
        <w:t xml:space="preserve"> and are intended for approval during RAN #106.</w:t>
      </w:r>
      <w:bookmarkEnd w:id="120"/>
      <w:bookmarkEnd w:id="121"/>
      <w:bookmarkEnd w:id="122"/>
    </w:p>
    <w:p w14:paraId="19A2F478" w14:textId="77777777" w:rsidR="00A86361" w:rsidRDefault="00A86361">
      <w:pPr>
        <w:rPr>
          <w:rFonts w:ascii="Arial" w:hAnsi="Arial"/>
          <w:sz w:val="36"/>
          <w:szCs w:val="20"/>
          <w:lang w:val="en-GB"/>
        </w:rPr>
      </w:pPr>
      <w:r>
        <w:br w:type="page"/>
      </w:r>
    </w:p>
    <w:p w14:paraId="34C99636" w14:textId="55257915" w:rsidR="008E7986" w:rsidRDefault="008E7986" w:rsidP="008E7986">
      <w:pPr>
        <w:pStyle w:val="Heading1"/>
      </w:pPr>
      <w:r>
        <w:lastRenderedPageBreak/>
        <w:t>3</w:t>
      </w:r>
      <w:r>
        <w:tab/>
        <w:t>Conclusions</w:t>
      </w:r>
    </w:p>
    <w:p w14:paraId="464459FC" w14:textId="33EE5D2C" w:rsidR="00930BCB" w:rsidRDefault="00930BCB" w:rsidP="00930BCB">
      <w:r>
        <w:t xml:space="preserve">This contribution describes the relevant </w:t>
      </w:r>
      <w:r w:rsidR="00237302">
        <w:t>low band aggregation</w:t>
      </w:r>
      <w:r>
        <w:t xml:space="preserve"> scenarios and provides the motivation for a new Rel-19 work item to specify a switching solution to enable their adoption into practical handset front end architectures.  The following observations and proposals are presented:</w:t>
      </w:r>
    </w:p>
    <w:p w14:paraId="14619145" w14:textId="77777777" w:rsidR="00E62B11" w:rsidRDefault="00E62B11" w:rsidP="00E72324"/>
    <w:p w14:paraId="2A224E3B" w14:textId="77777777" w:rsidR="00632CB1" w:rsidRDefault="00F62AEB">
      <w:pPr>
        <w:pStyle w:val="TOC1"/>
        <w:rPr>
          <w:rFonts w:asciiTheme="minorHAnsi" w:eastAsiaTheme="minorEastAsia" w:hAnsiTheme="minorHAnsi" w:cstheme="minorBidi"/>
          <w:b w:val="0"/>
          <w:bCs w:val="0"/>
          <w:noProof/>
          <w:kern w:val="2"/>
          <w14:ligatures w14:val="standardContextual"/>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632CB1">
        <w:rPr>
          <w:noProof/>
        </w:rPr>
        <w:t>Observation 1:</w:t>
      </w:r>
      <w:r w:rsidR="00632CB1">
        <w:rPr>
          <w:rFonts w:asciiTheme="minorHAnsi" w:eastAsiaTheme="minorEastAsia" w:hAnsiTheme="minorHAnsi" w:cstheme="minorBidi"/>
          <w:b w:val="0"/>
          <w:bCs w:val="0"/>
          <w:noProof/>
          <w:kern w:val="2"/>
          <w14:ligatures w14:val="standardContextual"/>
        </w:rPr>
        <w:tab/>
      </w:r>
      <w:r w:rsidR="00632CB1">
        <w:rPr>
          <w:noProof/>
        </w:rPr>
        <w:t>Band n29 falls within the duplex gap of band n12 and leaves 1 MHz for the filter stopband between n12 UL and n29 DL.  With current duplexer technology, a solution based on traditional carrier aggregation architecture does not seem feasible.</w:t>
      </w:r>
    </w:p>
    <w:p w14:paraId="011FEA0E"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Observation 2:</w:t>
      </w:r>
      <w:r>
        <w:rPr>
          <w:rFonts w:asciiTheme="minorHAnsi" w:eastAsiaTheme="minorEastAsia" w:hAnsiTheme="minorHAnsi" w:cstheme="minorBidi"/>
          <w:b w:val="0"/>
          <w:bCs w:val="0"/>
          <w:noProof/>
          <w:kern w:val="2"/>
          <w14:ligatures w14:val="standardContextual"/>
        </w:rPr>
        <w:tab/>
      </w:r>
      <w:r>
        <w:rPr>
          <w:noProof/>
        </w:rPr>
        <w:t>Band n106 UL is separated from band n26 DL by 2 MHz.  With current duplexer technology, a solution based on traditional carrier aggregation architecture does not seem feasible.</w:t>
      </w:r>
    </w:p>
    <w:p w14:paraId="4062CC8A"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Observation 3:</w:t>
      </w:r>
      <w:r>
        <w:rPr>
          <w:rFonts w:asciiTheme="minorHAnsi" w:eastAsiaTheme="minorEastAsia" w:hAnsiTheme="minorHAnsi" w:cstheme="minorBidi"/>
          <w:b w:val="0"/>
          <w:bCs w:val="0"/>
          <w:noProof/>
          <w:kern w:val="2"/>
          <w14:ligatures w14:val="standardContextual"/>
        </w:rPr>
        <w:tab/>
      </w:r>
      <w:r>
        <w:rPr>
          <w:noProof/>
        </w:rPr>
        <w:t>Band n67 DL overlaps with band n28 UL.  With current duplexer technology, a solution based on traditional carrier aggregation architecture does not seem feasible.</w:t>
      </w:r>
    </w:p>
    <w:p w14:paraId="294D9F7B"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Observation 4:</w:t>
      </w:r>
      <w:r>
        <w:rPr>
          <w:rFonts w:asciiTheme="minorHAnsi" w:eastAsiaTheme="minorEastAsia" w:hAnsiTheme="minorHAnsi" w:cstheme="minorBidi"/>
          <w:b w:val="0"/>
          <w:bCs w:val="0"/>
          <w:noProof/>
          <w:kern w:val="2"/>
          <w14:ligatures w14:val="standardContextual"/>
        </w:rPr>
        <w:tab/>
      </w:r>
      <w:r>
        <w:rPr>
          <w:noProof/>
        </w:rPr>
        <w:t>In the case of aggregating n5 with n29 via a single antenna, optimization of radiated performance in both bands simultaneously can be challenging due to their separation in frequency, while a potential design choice to implement additional antenna elements to support these combinations may carry cost and RF architecture complexity impacts in terms of additional components and volume in the form factor.</w:t>
      </w:r>
    </w:p>
    <w:p w14:paraId="21EBEC5B"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Observation 5:</w:t>
      </w:r>
      <w:r>
        <w:rPr>
          <w:rFonts w:asciiTheme="minorHAnsi" w:eastAsiaTheme="minorEastAsia" w:hAnsiTheme="minorHAnsi" w:cstheme="minorBidi"/>
          <w:b w:val="0"/>
          <w:bCs w:val="0"/>
          <w:noProof/>
          <w:kern w:val="2"/>
          <w14:ligatures w14:val="standardContextual"/>
        </w:rPr>
        <w:tab/>
      </w:r>
      <w:r>
        <w:rPr>
          <w:noProof/>
        </w:rPr>
        <w:t>In the case of aggregating n14 with n29, a solution based on switching the n14 and n29 carriers is useful to consider.</w:t>
      </w:r>
    </w:p>
    <w:p w14:paraId="72D71B26"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Observation 6:</w:t>
      </w:r>
      <w:r>
        <w:rPr>
          <w:rFonts w:asciiTheme="minorHAnsi" w:eastAsiaTheme="minorEastAsia" w:hAnsiTheme="minorHAnsi" w:cstheme="minorBidi"/>
          <w:b w:val="0"/>
          <w:bCs w:val="0"/>
          <w:noProof/>
          <w:kern w:val="2"/>
          <w14:ligatures w14:val="standardContextual"/>
        </w:rPr>
        <w:tab/>
      </w:r>
      <w:r>
        <w:rPr>
          <w:noProof/>
        </w:rPr>
        <w:t>In the case of aggregating n29 with n71 via a single antenna, optimization of radiated performance in both bands simultaneously can be challenging due to their separation in frequency, while a potential design choice to implement additional antenna elements to support these combinations may carry cost and RF architecture complexity impacts in terms of additional components and volume in the form factor.</w:t>
      </w:r>
    </w:p>
    <w:p w14:paraId="6F3027FC" w14:textId="41397492" w:rsidR="00BA300B" w:rsidRDefault="00F62AEB" w:rsidP="00E72324">
      <w:r>
        <w:rPr>
          <w:rFonts w:asciiTheme="minorHAnsi" w:hAnsiTheme="minorHAnsi"/>
          <w:bCs/>
        </w:rPr>
        <w:fldChar w:fldCharType="end"/>
      </w:r>
    </w:p>
    <w:p w14:paraId="6D341D12" w14:textId="77777777" w:rsidR="00632CB1" w:rsidRDefault="0062595A">
      <w:pPr>
        <w:pStyle w:val="TOC1"/>
        <w:rPr>
          <w:rFonts w:asciiTheme="minorHAnsi" w:eastAsiaTheme="minorEastAsia" w:hAnsiTheme="minorHAnsi" w:cstheme="minorBidi"/>
          <w:b w:val="0"/>
          <w:bCs w:val="0"/>
          <w:noProof/>
          <w:kern w:val="2"/>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632CB1">
        <w:rPr>
          <w:noProof/>
        </w:rPr>
        <w:t>Proposal 1:</w:t>
      </w:r>
      <w:r w:rsidR="00632CB1">
        <w:rPr>
          <w:rFonts w:asciiTheme="minorHAnsi" w:eastAsiaTheme="minorEastAsia" w:hAnsiTheme="minorHAnsi" w:cstheme="minorBidi"/>
          <w:b w:val="0"/>
          <w:bCs w:val="0"/>
          <w:noProof/>
          <w:kern w:val="2"/>
          <w14:ligatures w14:val="standardContextual"/>
        </w:rPr>
        <w:tab/>
      </w:r>
      <w:r w:rsidR="00632CB1">
        <w:rPr>
          <w:noProof/>
        </w:rPr>
        <w:t>An enhancement of the 3GPP specification is needed to enable LB+LB carrier aggregation based on switching.</w:t>
      </w:r>
    </w:p>
    <w:p w14:paraId="034C226B" w14:textId="77777777" w:rsidR="00632CB1" w:rsidRDefault="00632CB1">
      <w:pPr>
        <w:pStyle w:val="TOC1"/>
        <w:rPr>
          <w:rFonts w:asciiTheme="minorHAnsi" w:eastAsiaTheme="minorEastAsia" w:hAnsiTheme="minorHAnsi" w:cstheme="minorBidi"/>
          <w:b w:val="0"/>
          <w:bCs w:val="0"/>
          <w:noProof/>
          <w:kern w:val="2"/>
          <w14:ligatures w14:val="standardContextual"/>
        </w:rPr>
      </w:pPr>
      <w:r>
        <w:rPr>
          <w:noProof/>
        </w:rPr>
        <w:t>Proposal 2:</w:t>
      </w:r>
      <w:r>
        <w:rPr>
          <w:rFonts w:asciiTheme="minorHAnsi" w:eastAsiaTheme="minorEastAsia" w:hAnsiTheme="minorHAnsi" w:cstheme="minorBidi"/>
          <w:b w:val="0"/>
          <w:bCs w:val="0"/>
          <w:noProof/>
          <w:kern w:val="2"/>
          <w14:ligatures w14:val="standardContextual"/>
        </w:rPr>
        <w:tab/>
      </w:r>
      <w:r>
        <w:rPr>
          <w:noProof/>
        </w:rPr>
        <w:t>The proposed objectives are provided in R4-2415342 for information and further refinement and are intended for approval during RAN #106.</w:t>
      </w:r>
    </w:p>
    <w:p w14:paraId="05CC6F0A" w14:textId="1AD1257C" w:rsidR="005E69AE" w:rsidRDefault="0062595A" w:rsidP="00133E65">
      <w:pPr>
        <w:rPr>
          <w:b/>
          <w:bCs/>
        </w:rPr>
      </w:pPr>
      <w:r>
        <w:rPr>
          <w:b/>
          <w:bCs/>
        </w:rPr>
        <w:fldChar w:fldCharType="end"/>
      </w:r>
    </w:p>
    <w:p w14:paraId="5D2DDC34" w14:textId="77777777" w:rsidR="005E69AE" w:rsidRDefault="005E69AE" w:rsidP="005E69AE">
      <w:pPr>
        <w:pStyle w:val="Heading1"/>
      </w:pPr>
      <w:r>
        <w:t>4</w:t>
      </w:r>
      <w:r>
        <w:tab/>
        <w:t>References</w:t>
      </w:r>
    </w:p>
    <w:p w14:paraId="2C7BC95E" w14:textId="00709DF0" w:rsidR="00080512" w:rsidRDefault="00782CA3" w:rsidP="00D31A42">
      <w:pPr>
        <w:pStyle w:val="EX"/>
      </w:pPr>
      <w:bookmarkStart w:id="123" w:name="_Ref169596705"/>
      <w:r w:rsidRPr="00782CA3">
        <w:t>RP-241537</w:t>
      </w:r>
      <w:r>
        <w:t>, “</w:t>
      </w:r>
      <w:r w:rsidRPr="00782CA3">
        <w:t>Rx switched nX-n29 low-low carrier aggregation</w:t>
      </w:r>
      <w:r>
        <w:t>,” TELUS, Bell Mobility, 3GPP RAN #104, June 2024</w:t>
      </w:r>
      <w:bookmarkEnd w:id="0"/>
      <w:bookmarkEnd w:id="123"/>
    </w:p>
    <w:p w14:paraId="21217012" w14:textId="7AE0A76E" w:rsidR="00EB3541" w:rsidRDefault="00237302" w:rsidP="00D31A42">
      <w:pPr>
        <w:pStyle w:val="EX"/>
      </w:pPr>
      <w:r w:rsidRPr="00237302">
        <w:t>R4-2415342</w:t>
      </w:r>
      <w:r w:rsidR="00EB3541">
        <w:t>, “</w:t>
      </w:r>
      <w:r w:rsidR="00EB3541" w:rsidRPr="00EB3541">
        <w:t>New WID on low band carrier aggregation via switching</w:t>
      </w:r>
      <w:r w:rsidR="00EB3541">
        <w:t xml:space="preserve">,” </w:t>
      </w:r>
      <w:r w:rsidR="00EB3541" w:rsidRPr="00EB3541">
        <w:t>Apple, Skyworks Solutions Inc., BT plc, TELUS, Bell Mobility, Anterix, Southern Linc, AT&amp;T, Dish Network, Murata</w:t>
      </w:r>
    </w:p>
    <w:sectPr w:rsidR="00EB3541" w:rsidSect="008802E3">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CB074" w14:textId="77777777" w:rsidR="00F23893" w:rsidRDefault="00F23893">
      <w:r>
        <w:separator/>
      </w:r>
    </w:p>
  </w:endnote>
  <w:endnote w:type="continuationSeparator" w:id="0">
    <w:p w14:paraId="4A6A376D" w14:textId="77777777" w:rsidR="00F23893" w:rsidRDefault="00F2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19A5F" w14:textId="77777777" w:rsidR="00F23893" w:rsidRDefault="00F23893">
      <w:r>
        <w:separator/>
      </w:r>
    </w:p>
  </w:footnote>
  <w:footnote w:type="continuationSeparator" w:id="0">
    <w:p w14:paraId="32EE0DE8" w14:textId="77777777" w:rsidR="00F23893" w:rsidRDefault="00F23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82524"/>
    <w:multiLevelType w:val="multilevel"/>
    <w:tmpl w:val="204A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F11297"/>
    <w:multiLevelType w:val="multilevel"/>
    <w:tmpl w:val="D94C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4F417F"/>
    <w:multiLevelType w:val="multilevel"/>
    <w:tmpl w:val="BD74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145908"/>
    <w:multiLevelType w:val="multilevel"/>
    <w:tmpl w:val="AB2C6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A63BB8"/>
    <w:multiLevelType w:val="multilevel"/>
    <w:tmpl w:val="8210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9377DE"/>
    <w:multiLevelType w:val="multilevel"/>
    <w:tmpl w:val="B898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C930B2"/>
    <w:multiLevelType w:val="multilevel"/>
    <w:tmpl w:val="C9B82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0E2EA6"/>
    <w:multiLevelType w:val="multilevel"/>
    <w:tmpl w:val="8F9E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1"/>
  </w:num>
  <w:num w:numId="4" w16cid:durableId="1418938167">
    <w:abstractNumId w:val="14"/>
  </w:num>
  <w:num w:numId="5" w16cid:durableId="1192574548">
    <w:abstractNumId w:val="3"/>
  </w:num>
  <w:num w:numId="6" w16cid:durableId="1905604073">
    <w:abstractNumId w:val="3"/>
  </w:num>
  <w:num w:numId="7" w16cid:durableId="2038382258">
    <w:abstractNumId w:val="8"/>
  </w:num>
  <w:num w:numId="8" w16cid:durableId="1769497740">
    <w:abstractNumId w:val="5"/>
  </w:num>
  <w:num w:numId="9" w16cid:durableId="2000189367">
    <w:abstractNumId w:val="6"/>
  </w:num>
  <w:num w:numId="10" w16cid:durableId="1104038683">
    <w:abstractNumId w:val="4"/>
  </w:num>
  <w:num w:numId="11" w16cid:durableId="1742098279">
    <w:abstractNumId w:val="2"/>
  </w:num>
  <w:num w:numId="12" w16cid:durableId="433214944">
    <w:abstractNumId w:val="12"/>
  </w:num>
  <w:num w:numId="13" w16cid:durableId="1230337134">
    <w:abstractNumId w:val="9"/>
  </w:num>
  <w:num w:numId="14" w16cid:durableId="533883566">
    <w:abstractNumId w:val="13"/>
  </w:num>
  <w:num w:numId="15" w16cid:durableId="1792623108">
    <w:abstractNumId w:val="15"/>
  </w:num>
  <w:num w:numId="16" w16cid:durableId="1007758150">
    <w:abstractNumId w:val="10"/>
  </w:num>
  <w:num w:numId="17" w16cid:durableId="1761288391">
    <w:abstractNumId w:val="11"/>
  </w:num>
  <w:num w:numId="18" w16cid:durableId="14332105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18"/>
    <w:rsid w:val="000105BD"/>
    <w:rsid w:val="00011121"/>
    <w:rsid w:val="000259B7"/>
    <w:rsid w:val="000268F5"/>
    <w:rsid w:val="00033397"/>
    <w:rsid w:val="00040095"/>
    <w:rsid w:val="00044C77"/>
    <w:rsid w:val="00051834"/>
    <w:rsid w:val="00054A22"/>
    <w:rsid w:val="00062023"/>
    <w:rsid w:val="00063119"/>
    <w:rsid w:val="000655A6"/>
    <w:rsid w:val="00066061"/>
    <w:rsid w:val="000670D4"/>
    <w:rsid w:val="0007176B"/>
    <w:rsid w:val="0007201D"/>
    <w:rsid w:val="00074CEA"/>
    <w:rsid w:val="00080512"/>
    <w:rsid w:val="0008084C"/>
    <w:rsid w:val="0008335B"/>
    <w:rsid w:val="000843A6"/>
    <w:rsid w:val="00085733"/>
    <w:rsid w:val="00097E6C"/>
    <w:rsid w:val="000A21CD"/>
    <w:rsid w:val="000A365D"/>
    <w:rsid w:val="000A68F3"/>
    <w:rsid w:val="000B5595"/>
    <w:rsid w:val="000C0451"/>
    <w:rsid w:val="000C0B58"/>
    <w:rsid w:val="000C47C3"/>
    <w:rsid w:val="000D3B77"/>
    <w:rsid w:val="000D58AB"/>
    <w:rsid w:val="000D65A5"/>
    <w:rsid w:val="000E10D3"/>
    <w:rsid w:val="000E12C4"/>
    <w:rsid w:val="000E28C0"/>
    <w:rsid w:val="00104BC6"/>
    <w:rsid w:val="00110964"/>
    <w:rsid w:val="00114E2C"/>
    <w:rsid w:val="001159BB"/>
    <w:rsid w:val="001323A5"/>
    <w:rsid w:val="00132992"/>
    <w:rsid w:val="00133525"/>
    <w:rsid w:val="00133E65"/>
    <w:rsid w:val="00134DA3"/>
    <w:rsid w:val="00160EE7"/>
    <w:rsid w:val="001766D3"/>
    <w:rsid w:val="0019154C"/>
    <w:rsid w:val="00193F4F"/>
    <w:rsid w:val="001953CF"/>
    <w:rsid w:val="001A359A"/>
    <w:rsid w:val="001A4C42"/>
    <w:rsid w:val="001B4773"/>
    <w:rsid w:val="001B6FC3"/>
    <w:rsid w:val="001B76CE"/>
    <w:rsid w:val="001C21C3"/>
    <w:rsid w:val="001C26A4"/>
    <w:rsid w:val="001D02C2"/>
    <w:rsid w:val="001D2656"/>
    <w:rsid w:val="001E224D"/>
    <w:rsid w:val="001F0C1D"/>
    <w:rsid w:val="001F1132"/>
    <w:rsid w:val="001F168B"/>
    <w:rsid w:val="001F218F"/>
    <w:rsid w:val="001F3365"/>
    <w:rsid w:val="001F3CDB"/>
    <w:rsid w:val="001F4211"/>
    <w:rsid w:val="001F50B2"/>
    <w:rsid w:val="001F718D"/>
    <w:rsid w:val="002121CB"/>
    <w:rsid w:val="00216D9E"/>
    <w:rsid w:val="00223648"/>
    <w:rsid w:val="002245C7"/>
    <w:rsid w:val="00226AF4"/>
    <w:rsid w:val="002347A2"/>
    <w:rsid w:val="00237302"/>
    <w:rsid w:val="00240350"/>
    <w:rsid w:val="00247926"/>
    <w:rsid w:val="002503B1"/>
    <w:rsid w:val="00250438"/>
    <w:rsid w:val="0025085C"/>
    <w:rsid w:val="00252FA7"/>
    <w:rsid w:val="00260711"/>
    <w:rsid w:val="002675F0"/>
    <w:rsid w:val="0027230C"/>
    <w:rsid w:val="002742B7"/>
    <w:rsid w:val="00276EE4"/>
    <w:rsid w:val="00281076"/>
    <w:rsid w:val="002824FA"/>
    <w:rsid w:val="00284DE9"/>
    <w:rsid w:val="002B6339"/>
    <w:rsid w:val="002B6683"/>
    <w:rsid w:val="002B746E"/>
    <w:rsid w:val="002C006F"/>
    <w:rsid w:val="002C19AC"/>
    <w:rsid w:val="002C72B7"/>
    <w:rsid w:val="002D1FCD"/>
    <w:rsid w:val="002E00EE"/>
    <w:rsid w:val="002E593D"/>
    <w:rsid w:val="002F4E91"/>
    <w:rsid w:val="00300A53"/>
    <w:rsid w:val="00305FEF"/>
    <w:rsid w:val="0031479B"/>
    <w:rsid w:val="003172DC"/>
    <w:rsid w:val="003204DB"/>
    <w:rsid w:val="00331BED"/>
    <w:rsid w:val="0034052F"/>
    <w:rsid w:val="00342E81"/>
    <w:rsid w:val="00350764"/>
    <w:rsid w:val="0035462D"/>
    <w:rsid w:val="00361072"/>
    <w:rsid w:val="00364C8A"/>
    <w:rsid w:val="003706D7"/>
    <w:rsid w:val="003765B8"/>
    <w:rsid w:val="00391DC4"/>
    <w:rsid w:val="003A0483"/>
    <w:rsid w:val="003A0937"/>
    <w:rsid w:val="003A1985"/>
    <w:rsid w:val="003B4BFB"/>
    <w:rsid w:val="003C3971"/>
    <w:rsid w:val="003C39A8"/>
    <w:rsid w:val="003D0304"/>
    <w:rsid w:val="003D0D52"/>
    <w:rsid w:val="003D74EE"/>
    <w:rsid w:val="003E0E54"/>
    <w:rsid w:val="003E4D72"/>
    <w:rsid w:val="003E7753"/>
    <w:rsid w:val="003F2525"/>
    <w:rsid w:val="003F358A"/>
    <w:rsid w:val="004044A1"/>
    <w:rsid w:val="0041077F"/>
    <w:rsid w:val="004139C9"/>
    <w:rsid w:val="00423334"/>
    <w:rsid w:val="004345EC"/>
    <w:rsid w:val="00454F91"/>
    <w:rsid w:val="00455317"/>
    <w:rsid w:val="0047244E"/>
    <w:rsid w:val="00476683"/>
    <w:rsid w:val="0048081E"/>
    <w:rsid w:val="004826A9"/>
    <w:rsid w:val="004876E5"/>
    <w:rsid w:val="004945C5"/>
    <w:rsid w:val="004A34DE"/>
    <w:rsid w:val="004B5348"/>
    <w:rsid w:val="004C1601"/>
    <w:rsid w:val="004C50CA"/>
    <w:rsid w:val="004C7C6E"/>
    <w:rsid w:val="004D3578"/>
    <w:rsid w:val="004D4DFC"/>
    <w:rsid w:val="004D7261"/>
    <w:rsid w:val="004E213A"/>
    <w:rsid w:val="004E4D44"/>
    <w:rsid w:val="004E5D9E"/>
    <w:rsid w:val="004F0988"/>
    <w:rsid w:val="004F3340"/>
    <w:rsid w:val="004F3E3D"/>
    <w:rsid w:val="00523E02"/>
    <w:rsid w:val="005246D2"/>
    <w:rsid w:val="00531A1A"/>
    <w:rsid w:val="0053388B"/>
    <w:rsid w:val="00535773"/>
    <w:rsid w:val="00543E6C"/>
    <w:rsid w:val="00565087"/>
    <w:rsid w:val="00572D39"/>
    <w:rsid w:val="00572E14"/>
    <w:rsid w:val="00576597"/>
    <w:rsid w:val="00576E5E"/>
    <w:rsid w:val="00580008"/>
    <w:rsid w:val="005846D8"/>
    <w:rsid w:val="00595C50"/>
    <w:rsid w:val="005973BE"/>
    <w:rsid w:val="005A5986"/>
    <w:rsid w:val="005B2962"/>
    <w:rsid w:val="005C2B04"/>
    <w:rsid w:val="005C2BA3"/>
    <w:rsid w:val="005C5ADE"/>
    <w:rsid w:val="005D2E01"/>
    <w:rsid w:val="005D6137"/>
    <w:rsid w:val="005D7526"/>
    <w:rsid w:val="005E4C3B"/>
    <w:rsid w:val="005E69AE"/>
    <w:rsid w:val="00601D65"/>
    <w:rsid w:val="00602AEA"/>
    <w:rsid w:val="00603E77"/>
    <w:rsid w:val="00607E3C"/>
    <w:rsid w:val="00614FDF"/>
    <w:rsid w:val="0062176D"/>
    <w:rsid w:val="006246A7"/>
    <w:rsid w:val="0062595A"/>
    <w:rsid w:val="0063010D"/>
    <w:rsid w:val="00632CB1"/>
    <w:rsid w:val="0063543D"/>
    <w:rsid w:val="006429D4"/>
    <w:rsid w:val="00646D61"/>
    <w:rsid w:val="00647114"/>
    <w:rsid w:val="00653558"/>
    <w:rsid w:val="00673DE7"/>
    <w:rsid w:val="00677D9D"/>
    <w:rsid w:val="006A1063"/>
    <w:rsid w:val="006A323F"/>
    <w:rsid w:val="006A3823"/>
    <w:rsid w:val="006B211F"/>
    <w:rsid w:val="006B30D0"/>
    <w:rsid w:val="006B7C36"/>
    <w:rsid w:val="006C3D95"/>
    <w:rsid w:val="006C6E03"/>
    <w:rsid w:val="006D2549"/>
    <w:rsid w:val="006D413C"/>
    <w:rsid w:val="006E5C86"/>
    <w:rsid w:val="006F150A"/>
    <w:rsid w:val="0070457A"/>
    <w:rsid w:val="00713C44"/>
    <w:rsid w:val="00715BB8"/>
    <w:rsid w:val="00717E22"/>
    <w:rsid w:val="0072437D"/>
    <w:rsid w:val="00734A5B"/>
    <w:rsid w:val="007359BB"/>
    <w:rsid w:val="0074026F"/>
    <w:rsid w:val="007429F6"/>
    <w:rsid w:val="00744E76"/>
    <w:rsid w:val="00752198"/>
    <w:rsid w:val="00753881"/>
    <w:rsid w:val="0076010A"/>
    <w:rsid w:val="007703F9"/>
    <w:rsid w:val="00770FE4"/>
    <w:rsid w:val="00773AF1"/>
    <w:rsid w:val="00774DA4"/>
    <w:rsid w:val="00775E0B"/>
    <w:rsid w:val="00781F0F"/>
    <w:rsid w:val="00782CA3"/>
    <w:rsid w:val="00783310"/>
    <w:rsid w:val="007853FE"/>
    <w:rsid w:val="007932AB"/>
    <w:rsid w:val="00793DFD"/>
    <w:rsid w:val="00795E04"/>
    <w:rsid w:val="007A1001"/>
    <w:rsid w:val="007A1B35"/>
    <w:rsid w:val="007B600E"/>
    <w:rsid w:val="007C1B2D"/>
    <w:rsid w:val="007D3133"/>
    <w:rsid w:val="007D5E7C"/>
    <w:rsid w:val="007D7277"/>
    <w:rsid w:val="007F0F4A"/>
    <w:rsid w:val="007F71BD"/>
    <w:rsid w:val="008028A4"/>
    <w:rsid w:val="008029FB"/>
    <w:rsid w:val="008045FB"/>
    <w:rsid w:val="008055BA"/>
    <w:rsid w:val="00805845"/>
    <w:rsid w:val="00820B25"/>
    <w:rsid w:val="00830747"/>
    <w:rsid w:val="00837927"/>
    <w:rsid w:val="008411FA"/>
    <w:rsid w:val="00842F69"/>
    <w:rsid w:val="00846DDF"/>
    <w:rsid w:val="008550A3"/>
    <w:rsid w:val="00863CB7"/>
    <w:rsid w:val="008768CA"/>
    <w:rsid w:val="008802E3"/>
    <w:rsid w:val="0088377F"/>
    <w:rsid w:val="00886D2E"/>
    <w:rsid w:val="008A0399"/>
    <w:rsid w:val="008A0C67"/>
    <w:rsid w:val="008A3062"/>
    <w:rsid w:val="008C3440"/>
    <w:rsid w:val="008C384C"/>
    <w:rsid w:val="008C4AB1"/>
    <w:rsid w:val="008C4BB0"/>
    <w:rsid w:val="008D28F9"/>
    <w:rsid w:val="008D6E18"/>
    <w:rsid w:val="008E2590"/>
    <w:rsid w:val="008E3475"/>
    <w:rsid w:val="008E5599"/>
    <w:rsid w:val="008E7986"/>
    <w:rsid w:val="009012B7"/>
    <w:rsid w:val="00901F92"/>
    <w:rsid w:val="0090271F"/>
    <w:rsid w:val="00902E23"/>
    <w:rsid w:val="009041DE"/>
    <w:rsid w:val="009114D7"/>
    <w:rsid w:val="0091348E"/>
    <w:rsid w:val="00917CCB"/>
    <w:rsid w:val="00930BCB"/>
    <w:rsid w:val="00932E3C"/>
    <w:rsid w:val="009357CC"/>
    <w:rsid w:val="00942EC2"/>
    <w:rsid w:val="00943B44"/>
    <w:rsid w:val="009553A4"/>
    <w:rsid w:val="00957D75"/>
    <w:rsid w:val="009739C3"/>
    <w:rsid w:val="009C41A6"/>
    <w:rsid w:val="009C50E3"/>
    <w:rsid w:val="009D30C3"/>
    <w:rsid w:val="009E5813"/>
    <w:rsid w:val="009F0509"/>
    <w:rsid w:val="009F36E3"/>
    <w:rsid w:val="009F37B7"/>
    <w:rsid w:val="009F5E43"/>
    <w:rsid w:val="00A1026D"/>
    <w:rsid w:val="00A10F02"/>
    <w:rsid w:val="00A164B4"/>
    <w:rsid w:val="00A25141"/>
    <w:rsid w:val="00A26956"/>
    <w:rsid w:val="00A53724"/>
    <w:rsid w:val="00A61189"/>
    <w:rsid w:val="00A64EB5"/>
    <w:rsid w:val="00A73129"/>
    <w:rsid w:val="00A77938"/>
    <w:rsid w:val="00A80C35"/>
    <w:rsid w:val="00A82346"/>
    <w:rsid w:val="00A86361"/>
    <w:rsid w:val="00A92BA1"/>
    <w:rsid w:val="00AA10FA"/>
    <w:rsid w:val="00AB778C"/>
    <w:rsid w:val="00AC6BC6"/>
    <w:rsid w:val="00AC7B14"/>
    <w:rsid w:val="00AD44FD"/>
    <w:rsid w:val="00AE11C6"/>
    <w:rsid w:val="00AE3797"/>
    <w:rsid w:val="00AE3D66"/>
    <w:rsid w:val="00AF3061"/>
    <w:rsid w:val="00AF6DE3"/>
    <w:rsid w:val="00B1077F"/>
    <w:rsid w:val="00B15449"/>
    <w:rsid w:val="00B235A5"/>
    <w:rsid w:val="00B249E4"/>
    <w:rsid w:val="00B3456D"/>
    <w:rsid w:val="00B4127F"/>
    <w:rsid w:val="00B43DE0"/>
    <w:rsid w:val="00B44626"/>
    <w:rsid w:val="00B5775A"/>
    <w:rsid w:val="00B658F1"/>
    <w:rsid w:val="00B845A4"/>
    <w:rsid w:val="00B905E7"/>
    <w:rsid w:val="00B92E47"/>
    <w:rsid w:val="00B93086"/>
    <w:rsid w:val="00B94943"/>
    <w:rsid w:val="00BA19ED"/>
    <w:rsid w:val="00BA1E65"/>
    <w:rsid w:val="00BA300B"/>
    <w:rsid w:val="00BA4B8D"/>
    <w:rsid w:val="00BB26AA"/>
    <w:rsid w:val="00BB5EFB"/>
    <w:rsid w:val="00BC0F7D"/>
    <w:rsid w:val="00BE3255"/>
    <w:rsid w:val="00BF128E"/>
    <w:rsid w:val="00BF1477"/>
    <w:rsid w:val="00C00627"/>
    <w:rsid w:val="00C137D5"/>
    <w:rsid w:val="00C1496A"/>
    <w:rsid w:val="00C2295B"/>
    <w:rsid w:val="00C25A1A"/>
    <w:rsid w:val="00C33079"/>
    <w:rsid w:val="00C350AF"/>
    <w:rsid w:val="00C42C6D"/>
    <w:rsid w:val="00C45231"/>
    <w:rsid w:val="00C52F26"/>
    <w:rsid w:val="00C60FE5"/>
    <w:rsid w:val="00C66384"/>
    <w:rsid w:val="00C72833"/>
    <w:rsid w:val="00C80F1D"/>
    <w:rsid w:val="00C87106"/>
    <w:rsid w:val="00C93F40"/>
    <w:rsid w:val="00CA3D0C"/>
    <w:rsid w:val="00CA6376"/>
    <w:rsid w:val="00CB6450"/>
    <w:rsid w:val="00CD44B5"/>
    <w:rsid w:val="00CD6D99"/>
    <w:rsid w:val="00CF10AA"/>
    <w:rsid w:val="00CF20E3"/>
    <w:rsid w:val="00D309CC"/>
    <w:rsid w:val="00D31A42"/>
    <w:rsid w:val="00D46431"/>
    <w:rsid w:val="00D47AF8"/>
    <w:rsid w:val="00D534F3"/>
    <w:rsid w:val="00D56A52"/>
    <w:rsid w:val="00D57972"/>
    <w:rsid w:val="00D64C63"/>
    <w:rsid w:val="00D675A9"/>
    <w:rsid w:val="00D738D6"/>
    <w:rsid w:val="00D755EB"/>
    <w:rsid w:val="00D87E00"/>
    <w:rsid w:val="00D9134D"/>
    <w:rsid w:val="00D91FA1"/>
    <w:rsid w:val="00DA7A03"/>
    <w:rsid w:val="00DB1818"/>
    <w:rsid w:val="00DB4EC1"/>
    <w:rsid w:val="00DC309B"/>
    <w:rsid w:val="00DC4DA2"/>
    <w:rsid w:val="00DC63AD"/>
    <w:rsid w:val="00DD3D99"/>
    <w:rsid w:val="00DD4C17"/>
    <w:rsid w:val="00DE2467"/>
    <w:rsid w:val="00DE2F7A"/>
    <w:rsid w:val="00DE6B29"/>
    <w:rsid w:val="00DE6E30"/>
    <w:rsid w:val="00DF1B20"/>
    <w:rsid w:val="00DF2B1F"/>
    <w:rsid w:val="00DF5490"/>
    <w:rsid w:val="00DF6189"/>
    <w:rsid w:val="00DF62CD"/>
    <w:rsid w:val="00E16509"/>
    <w:rsid w:val="00E27935"/>
    <w:rsid w:val="00E41C05"/>
    <w:rsid w:val="00E44582"/>
    <w:rsid w:val="00E52814"/>
    <w:rsid w:val="00E5536B"/>
    <w:rsid w:val="00E62B11"/>
    <w:rsid w:val="00E72011"/>
    <w:rsid w:val="00E72324"/>
    <w:rsid w:val="00E72ABE"/>
    <w:rsid w:val="00E74724"/>
    <w:rsid w:val="00E74D24"/>
    <w:rsid w:val="00E77645"/>
    <w:rsid w:val="00E83A3D"/>
    <w:rsid w:val="00E90BC9"/>
    <w:rsid w:val="00EA0679"/>
    <w:rsid w:val="00EB3496"/>
    <w:rsid w:val="00EB3541"/>
    <w:rsid w:val="00EC4A25"/>
    <w:rsid w:val="00ED56EF"/>
    <w:rsid w:val="00EE4154"/>
    <w:rsid w:val="00EE4A4B"/>
    <w:rsid w:val="00EE5AA7"/>
    <w:rsid w:val="00EF7853"/>
    <w:rsid w:val="00F025A2"/>
    <w:rsid w:val="00F04712"/>
    <w:rsid w:val="00F10A39"/>
    <w:rsid w:val="00F21311"/>
    <w:rsid w:val="00F22EC7"/>
    <w:rsid w:val="00F23893"/>
    <w:rsid w:val="00F325C8"/>
    <w:rsid w:val="00F40D2C"/>
    <w:rsid w:val="00F46202"/>
    <w:rsid w:val="00F56D37"/>
    <w:rsid w:val="00F62AEB"/>
    <w:rsid w:val="00F653B8"/>
    <w:rsid w:val="00F66D3E"/>
    <w:rsid w:val="00F66FDB"/>
    <w:rsid w:val="00F70647"/>
    <w:rsid w:val="00F726EF"/>
    <w:rsid w:val="00F74C09"/>
    <w:rsid w:val="00F85A09"/>
    <w:rsid w:val="00F85B81"/>
    <w:rsid w:val="00F9377D"/>
    <w:rsid w:val="00F94078"/>
    <w:rsid w:val="00FA1266"/>
    <w:rsid w:val="00FA2DA6"/>
    <w:rsid w:val="00FA33F8"/>
    <w:rsid w:val="00FB4992"/>
    <w:rsid w:val="00FC026C"/>
    <w:rsid w:val="00FC1192"/>
    <w:rsid w:val="00FD1013"/>
    <w:rsid w:val="00FF41E1"/>
    <w:rsid w:val="00FF74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C3"/>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rsid w:val="00595C50"/>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customStyle="1" w:styleId="apple-converted-space">
    <w:name w:val="apple-converted-space"/>
    <w:basedOn w:val="DefaultParagraphFont"/>
    <w:rsid w:val="009D30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175">
      <w:bodyDiv w:val="1"/>
      <w:marLeft w:val="0"/>
      <w:marRight w:val="0"/>
      <w:marTop w:val="0"/>
      <w:marBottom w:val="0"/>
      <w:divBdr>
        <w:top w:val="none" w:sz="0" w:space="0" w:color="auto"/>
        <w:left w:val="none" w:sz="0" w:space="0" w:color="auto"/>
        <w:bottom w:val="none" w:sz="0" w:space="0" w:color="auto"/>
        <w:right w:val="none" w:sz="0" w:space="0" w:color="auto"/>
      </w:divBdr>
    </w:div>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348</TotalTime>
  <Pages>5</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209</cp:revision>
  <cp:lastPrinted>2019-02-25T14:05:00Z</cp:lastPrinted>
  <dcterms:created xsi:type="dcterms:W3CDTF">2019-08-13T15:36:00Z</dcterms:created>
  <dcterms:modified xsi:type="dcterms:W3CDTF">2024-10-07T06:54:00Z</dcterms:modified>
  <cp:category/>
</cp:coreProperties>
</file>